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1865" w:rsidRDefault="00B51FCD">
      <w:pPr>
        <w:pStyle w:val="normal0"/>
        <w:jc w:val="center"/>
        <w:rPr>
          <w:b/>
        </w:rPr>
      </w:pPr>
      <w:r>
        <w:rPr>
          <w:b/>
        </w:rPr>
        <w:t xml:space="preserve">Student accommodation (of which there is much in LW) is not covered by the Council’s H9 space standards policy, so what space standards should apply in this area? </w:t>
      </w:r>
    </w:p>
    <w:p w:rsidR="000E1865" w:rsidRDefault="000E1865">
      <w:pPr>
        <w:pStyle w:val="normal0"/>
      </w:pPr>
    </w:p>
    <w:p w:rsidR="000E1865" w:rsidRDefault="00B51FCD">
      <w:pPr>
        <w:pStyle w:val="normal0"/>
      </w:pPr>
      <w:r>
        <w:t xml:space="preserve"> </w:t>
      </w:r>
    </w:p>
    <w:p w:rsidR="000E1865" w:rsidRDefault="00B51FCD">
      <w:pPr>
        <w:pStyle w:val="normal0"/>
        <w:rPr>
          <w:b/>
        </w:rPr>
      </w:pPr>
      <w:r>
        <w:rPr>
          <w:b/>
        </w:rPr>
        <w:t xml:space="preserve">1. Introduction to Little Woodhouse and the Community Association </w:t>
      </w:r>
    </w:p>
    <w:p w:rsidR="000E1865" w:rsidRDefault="000E1865">
      <w:pPr>
        <w:pStyle w:val="normal0"/>
      </w:pPr>
    </w:p>
    <w:p w:rsidR="000E1865" w:rsidRDefault="00B51FCD">
      <w:pPr>
        <w:pStyle w:val="normal0"/>
      </w:pPr>
      <w:r>
        <w:t xml:space="preserve">Little Woodhouse is an area situated in the City of Leeds, England. A community association for the area was formed, uniting several resident action groups, in an area bounded by Clarendon Road, Moorland Road, Hyde Park Road, Burley Road and Park Lane. It </w:t>
      </w:r>
      <w:r>
        <w:t xml:space="preserve">is a mainly residential area, with close links to the city centre and many universities are situated close by (LWCA, 2011). The Little Woodhouse Community Association (2016, p.4) identify the uniqueness of the area, stating that it is a “varied place with </w:t>
      </w:r>
      <w:r>
        <w:t xml:space="preserve">special qualities” such as gently sloping land, three conservation areas and valuable green spaces including Hanover Square and Rosebank </w:t>
      </w:r>
      <w:proofErr w:type="spellStart"/>
      <w:r>
        <w:t>Millenium</w:t>
      </w:r>
      <w:proofErr w:type="spellEnd"/>
      <w:r>
        <w:t xml:space="preserve"> Green. However, the Association identifies drawbacks to the area too, such as the streets and paths being in </w:t>
      </w:r>
      <w:r>
        <w:t xml:space="preserve">poor condition, visual pollution from the nearby </w:t>
      </w:r>
      <w:proofErr w:type="spellStart"/>
      <w:r>
        <w:t>Kirkstall</w:t>
      </w:r>
      <w:proofErr w:type="spellEnd"/>
      <w:r>
        <w:t xml:space="preserve"> Road, a lack of family housing due to </w:t>
      </w:r>
      <w:proofErr w:type="spellStart"/>
      <w:r>
        <w:t>studentification</w:t>
      </w:r>
      <w:proofErr w:type="spellEnd"/>
      <w:r>
        <w:t xml:space="preserve">, and a general lack of resources for improving and maintaining the area.  </w:t>
      </w:r>
    </w:p>
    <w:p w:rsidR="000E1865" w:rsidRDefault="000E1865">
      <w:pPr>
        <w:pStyle w:val="normal0"/>
      </w:pPr>
    </w:p>
    <w:p w:rsidR="000E1865" w:rsidRDefault="00B51FCD">
      <w:pPr>
        <w:pStyle w:val="normal0"/>
      </w:pPr>
      <w:r>
        <w:t xml:space="preserve"> </w:t>
      </w:r>
      <w:r>
        <w:rPr>
          <w:noProof/>
        </w:rPr>
        <w:drawing>
          <wp:inline distT="114300" distB="114300" distL="114300" distR="114300">
            <wp:extent cx="3773907" cy="3508911"/>
            <wp:effectExtent l="0" t="0" r="0" b="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cstate="print"/>
                    <a:srcRect/>
                    <a:stretch>
                      <a:fillRect/>
                    </a:stretch>
                  </pic:blipFill>
                  <pic:spPr>
                    <a:xfrm>
                      <a:off x="0" y="0"/>
                      <a:ext cx="3773907" cy="3508911"/>
                    </a:xfrm>
                    <a:prstGeom prst="rect">
                      <a:avLst/>
                    </a:prstGeom>
                    <a:ln/>
                  </pic:spPr>
                </pic:pic>
              </a:graphicData>
            </a:graphic>
          </wp:inline>
        </w:drawing>
      </w:r>
    </w:p>
    <w:p w:rsidR="000E1865" w:rsidRDefault="000E1865">
      <w:pPr>
        <w:pStyle w:val="normal0"/>
      </w:pPr>
    </w:p>
    <w:p w:rsidR="000E1865" w:rsidRDefault="00B51FCD">
      <w:pPr>
        <w:pStyle w:val="normal0"/>
      </w:pPr>
      <w:r>
        <w:t xml:space="preserve"> Figure 1: The Little Woodhouse Neighbourhood Area </w:t>
      </w:r>
    </w:p>
    <w:p w:rsidR="000E1865" w:rsidRDefault="000E1865">
      <w:pPr>
        <w:pStyle w:val="normal0"/>
      </w:pPr>
    </w:p>
    <w:p w:rsidR="000E1865" w:rsidRDefault="00B51FCD">
      <w:pPr>
        <w:pStyle w:val="normal0"/>
      </w:pPr>
      <w:r>
        <w:t xml:space="preserve">Leeds is </w:t>
      </w:r>
      <w:r>
        <w:t>one of the largest cities in the UK and is popular with universities and students. There are six universities at various locations across the city, with a student population of almost 70,000. The two biggest universities (Leeds Beckett and University of Le</w:t>
      </w:r>
      <w:r>
        <w:t xml:space="preserve">eds) have their own private residential blocks for students, alongside those provided by private student agencies, </w:t>
      </w:r>
      <w:proofErr w:type="gramStart"/>
      <w:r>
        <w:lastRenderedPageBreak/>
        <w:t>such</w:t>
      </w:r>
      <w:proofErr w:type="gramEnd"/>
      <w:r>
        <w:t xml:space="preserve"> as Unite, Iconic, IQ, and </w:t>
      </w:r>
      <w:proofErr w:type="spellStart"/>
      <w:r>
        <w:t>Unipol</w:t>
      </w:r>
      <w:proofErr w:type="spellEnd"/>
      <w:r>
        <w:t>. The University of Leeds has 21 official residences, and Leeds Beckett has 6, totalling 27 blocks witho</w:t>
      </w:r>
      <w:r>
        <w:t xml:space="preserve">ut those provided privately (Kay, 2022). The scale of student accommodation is reflected in the demographic information of Little Woodhouse. Compared to Leeds (23.3%) the percentage of people aged 16-30 is 77.6% (Little Woodhouse Neighbourhood Plan Draft, </w:t>
      </w:r>
      <w:r>
        <w:t xml:space="preserve">2023), presenting a unique demographic challenge to the area.  </w:t>
      </w:r>
    </w:p>
    <w:p w:rsidR="000E1865" w:rsidRDefault="000E1865">
      <w:pPr>
        <w:pStyle w:val="normal0"/>
      </w:pPr>
    </w:p>
    <w:p w:rsidR="000E1865" w:rsidRDefault="00B51FCD">
      <w:pPr>
        <w:pStyle w:val="normal0"/>
      </w:pPr>
      <w:r>
        <w:t xml:space="preserve"> </w:t>
      </w:r>
      <w:r>
        <w:rPr>
          <w:noProof/>
        </w:rPr>
        <w:drawing>
          <wp:inline distT="114300" distB="114300" distL="114300" distR="114300">
            <wp:extent cx="4299842" cy="3018697"/>
            <wp:effectExtent l="0" t="0" r="0" b="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8" cstate="print"/>
                    <a:srcRect/>
                    <a:stretch>
                      <a:fillRect/>
                    </a:stretch>
                  </pic:blipFill>
                  <pic:spPr>
                    <a:xfrm>
                      <a:off x="0" y="0"/>
                      <a:ext cx="4299842" cy="3018697"/>
                    </a:xfrm>
                    <a:prstGeom prst="rect">
                      <a:avLst/>
                    </a:prstGeom>
                    <a:ln/>
                  </pic:spPr>
                </pic:pic>
              </a:graphicData>
            </a:graphic>
          </wp:inline>
        </w:drawing>
      </w:r>
    </w:p>
    <w:p w:rsidR="000E1865" w:rsidRDefault="000E1865">
      <w:pPr>
        <w:pStyle w:val="normal0"/>
      </w:pPr>
    </w:p>
    <w:p w:rsidR="000E1865" w:rsidRDefault="00B51FCD">
      <w:pPr>
        <w:pStyle w:val="normal0"/>
      </w:pPr>
      <w:r>
        <w:t xml:space="preserve">Figure 2: IQ Marsden House (PBSA in Leeds) </w:t>
      </w:r>
    </w:p>
    <w:p w:rsidR="000E1865" w:rsidRDefault="000E1865">
      <w:pPr>
        <w:pStyle w:val="normal0"/>
      </w:pPr>
    </w:p>
    <w:p w:rsidR="000E1865" w:rsidRDefault="00B51FCD">
      <w:pPr>
        <w:pStyle w:val="normal0"/>
      </w:pPr>
      <w:r>
        <w:t xml:space="preserve"> </w:t>
      </w:r>
    </w:p>
    <w:p w:rsidR="000E1865" w:rsidRDefault="000E1865">
      <w:pPr>
        <w:pStyle w:val="normal0"/>
      </w:pPr>
    </w:p>
    <w:p w:rsidR="000E1865" w:rsidRDefault="00B51FCD">
      <w:pPr>
        <w:pStyle w:val="normal0"/>
        <w:rPr>
          <w:b/>
        </w:rPr>
      </w:pPr>
      <w:r>
        <w:br w:type="page"/>
      </w:r>
    </w:p>
    <w:p w:rsidR="000E1865" w:rsidRDefault="00B51FCD">
      <w:pPr>
        <w:pStyle w:val="normal0"/>
        <w:rPr>
          <w:b/>
        </w:rPr>
      </w:pPr>
      <w:r>
        <w:rPr>
          <w:b/>
        </w:rPr>
        <w:lastRenderedPageBreak/>
        <w:t xml:space="preserve">2. Neighbourhood Plans </w:t>
      </w:r>
    </w:p>
    <w:p w:rsidR="000E1865" w:rsidRDefault="000E1865">
      <w:pPr>
        <w:pStyle w:val="normal0"/>
      </w:pPr>
    </w:p>
    <w:p w:rsidR="000E1865" w:rsidRDefault="00B51FCD">
      <w:pPr>
        <w:pStyle w:val="normal0"/>
      </w:pPr>
      <w:r>
        <w:rPr>
          <w:u w:val="single"/>
        </w:rPr>
        <w:t>Localism Act 2011</w:t>
      </w:r>
      <w:r>
        <w:t xml:space="preserve"> </w:t>
      </w:r>
    </w:p>
    <w:p w:rsidR="000E1865" w:rsidRDefault="000E1865">
      <w:pPr>
        <w:pStyle w:val="normal0"/>
      </w:pPr>
    </w:p>
    <w:p w:rsidR="000E1865" w:rsidRDefault="00B51FCD">
      <w:pPr>
        <w:pStyle w:val="normal0"/>
      </w:pPr>
      <w:r>
        <w:t>The introduction of the Localism Act in 2011 brought about the opportunity for communities t</w:t>
      </w:r>
      <w:r>
        <w:t>o produce neighbourhood plans, the purpose being to allow communities to have a say as to where new development should take place in their area and what it should look like.  Whilst the Localism Act did not solely focus on the reform of the planning system</w:t>
      </w:r>
      <w:r>
        <w:t>, the intent was to shift some of the power from central government towards local people. National Government produced a document A Plain English Guide to the Localism Act in which they state ‘the Government thinks that local communities should have genuin</w:t>
      </w:r>
      <w:r>
        <w:t xml:space="preserve">e opportunities to influence the future of the places where they live’ (Department for Communities and Local Government, p. 12).  </w:t>
      </w:r>
    </w:p>
    <w:p w:rsidR="000E1865" w:rsidRDefault="00B51FCD">
      <w:pPr>
        <w:pStyle w:val="normal0"/>
      </w:pPr>
      <w:r>
        <w:t xml:space="preserve"> </w:t>
      </w:r>
    </w:p>
    <w:p w:rsidR="000E1865" w:rsidRDefault="00B51FCD">
      <w:pPr>
        <w:pStyle w:val="normal0"/>
      </w:pPr>
      <w:r>
        <w:t>The Localism Act represented a considerable departure from previous changes within the planning system, given that they wer</w:t>
      </w:r>
      <w:r>
        <w:t>e dependent on voluntary contributions of local representatives, through forums and the preparation of plans. The production of neighbourhood plans has not been without challenges, given they are reliant upon people willing to interact and that self-intere</w:t>
      </w:r>
      <w:r>
        <w:t>st will be set aside to develop outcomes that serve a wider interest (Parker and Salter 2017, p.479). Most neighbourhood plans that have been produced are within small towns, or villages within rural and semi-rural areas with established town or parish cou</w:t>
      </w:r>
      <w:r>
        <w:t xml:space="preserve">ncils who have considerable experience in planning issues (Bailey 2017, p.6). </w:t>
      </w:r>
    </w:p>
    <w:p w:rsidR="000E1865" w:rsidRDefault="000E1865">
      <w:pPr>
        <w:pStyle w:val="normal0"/>
      </w:pPr>
    </w:p>
    <w:p w:rsidR="000E1865" w:rsidRDefault="000E1865">
      <w:pPr>
        <w:pStyle w:val="normal0"/>
      </w:pPr>
    </w:p>
    <w:p w:rsidR="000E1865" w:rsidRDefault="00B51FCD">
      <w:pPr>
        <w:pStyle w:val="normal0"/>
        <w:rPr>
          <w:u w:val="single"/>
        </w:rPr>
      </w:pPr>
      <w:r>
        <w:rPr>
          <w:u w:val="single"/>
        </w:rPr>
        <w:t xml:space="preserve">Little Woodhouse Neighbourhood Plan </w:t>
      </w:r>
    </w:p>
    <w:p w:rsidR="000E1865" w:rsidRDefault="000E1865">
      <w:pPr>
        <w:pStyle w:val="normal0"/>
      </w:pPr>
    </w:p>
    <w:p w:rsidR="000E1865" w:rsidRDefault="00B51FCD">
      <w:pPr>
        <w:pStyle w:val="normal0"/>
      </w:pPr>
      <w:r>
        <w:t xml:space="preserve">The Little Woodhouse Neighbourhood Forum </w:t>
      </w:r>
      <w:proofErr w:type="gramStart"/>
      <w:r>
        <w:t>are</w:t>
      </w:r>
      <w:proofErr w:type="gramEnd"/>
      <w:r>
        <w:t xml:space="preserve"> currently in the process of producing a neighbourhood plan for the area. The neighbourhood area was first designated by Leeds City Council in February 2016 for a period of five years, with the area </w:t>
      </w:r>
      <w:proofErr w:type="spellStart"/>
      <w:r>
        <w:t>redesignated</w:t>
      </w:r>
      <w:proofErr w:type="spellEnd"/>
      <w:r>
        <w:t xml:space="preserve"> in August 2021. The neighbourhood forum is c</w:t>
      </w:r>
      <w:r>
        <w:t>urrently at an advanced stage, with the neighbourhood plan in preparation for submission. The neighbourhood plan seeks to address several issues they consider most prudent in the area, which includes the imbalance in the mix of housing, avoiding high conce</w:t>
      </w:r>
      <w:r>
        <w:t xml:space="preserve">ntrations of PBSA developments and ensuring that students benefit from well-designed and good quality accommodation.  </w:t>
      </w:r>
    </w:p>
    <w:p w:rsidR="000E1865" w:rsidRDefault="000E1865">
      <w:pPr>
        <w:pStyle w:val="normal0"/>
      </w:pPr>
    </w:p>
    <w:p w:rsidR="000E1865" w:rsidRDefault="00B51FCD">
      <w:pPr>
        <w:pStyle w:val="normal0"/>
      </w:pPr>
      <w:r>
        <w:t xml:space="preserve"> </w:t>
      </w:r>
    </w:p>
    <w:p w:rsidR="000E1865" w:rsidRDefault="000E1865">
      <w:pPr>
        <w:pStyle w:val="normal0"/>
      </w:pPr>
    </w:p>
    <w:p w:rsidR="000E1865" w:rsidRDefault="00B51FCD">
      <w:pPr>
        <w:pStyle w:val="normal0"/>
      </w:pPr>
      <w:r>
        <w:t xml:space="preserve"> </w:t>
      </w:r>
    </w:p>
    <w:p w:rsidR="000E1865" w:rsidRDefault="00B51FCD">
      <w:pPr>
        <w:pStyle w:val="normal0"/>
      </w:pPr>
      <w:r>
        <w:t xml:space="preserve"> </w:t>
      </w:r>
    </w:p>
    <w:p w:rsidR="000E1865" w:rsidRDefault="000E1865">
      <w:pPr>
        <w:pStyle w:val="normal0"/>
      </w:pPr>
    </w:p>
    <w:p w:rsidR="000E1865" w:rsidRDefault="00B51FCD">
      <w:pPr>
        <w:pStyle w:val="normal0"/>
        <w:rPr>
          <w:b/>
        </w:rPr>
      </w:pPr>
      <w:r>
        <w:br w:type="page"/>
      </w:r>
    </w:p>
    <w:p w:rsidR="000E1865" w:rsidRDefault="00B51FCD">
      <w:pPr>
        <w:pStyle w:val="normal0"/>
        <w:rPr>
          <w:b/>
        </w:rPr>
      </w:pPr>
      <w:r>
        <w:rPr>
          <w:b/>
        </w:rPr>
        <w:lastRenderedPageBreak/>
        <w:t xml:space="preserve">3. Introduction to space standards </w:t>
      </w:r>
    </w:p>
    <w:p w:rsidR="000E1865" w:rsidRDefault="000E1865">
      <w:pPr>
        <w:pStyle w:val="normal0"/>
      </w:pPr>
    </w:p>
    <w:p w:rsidR="000E1865" w:rsidRDefault="00B51FCD">
      <w:pPr>
        <w:pStyle w:val="normal0"/>
        <w:rPr>
          <w:u w:val="single"/>
        </w:rPr>
      </w:pPr>
      <w:r>
        <w:rPr>
          <w:u w:val="single"/>
        </w:rPr>
        <w:t xml:space="preserve">Early history of space standards </w:t>
      </w:r>
    </w:p>
    <w:p w:rsidR="000E1865" w:rsidRDefault="000E1865">
      <w:pPr>
        <w:pStyle w:val="normal0"/>
      </w:pPr>
    </w:p>
    <w:p w:rsidR="000E1865" w:rsidRDefault="00B51FCD">
      <w:pPr>
        <w:pStyle w:val="normal0"/>
      </w:pPr>
      <w:r>
        <w:t>The idea of space standards emerged over 100 years ago</w:t>
      </w:r>
      <w:r>
        <w:t xml:space="preserve"> with the publication of the Tudor Walters Report in 1918. Prior to this, the focus had been on public health issues, but the devastating effects of the Great Fire of London in 1666 and the Great Plague a year earlier marked the start of public concern reg</w:t>
      </w:r>
      <w:r>
        <w:t xml:space="preserve">arding living standards. Throughout the Georgian and Victorian periods many properties were rented and occupied by at least two families (Park, 2017, p. 16) with overcrowding becoming a serious problem. Many of the significant changes in housing standards </w:t>
      </w:r>
      <w:r>
        <w:t>came about because of major events, with the First World War leading to the Tudor Walters Report. The London Building Act of 1667 established as a result of the Great Fire of London specified the constructional materials of new dwellings, together with the</w:t>
      </w:r>
      <w:r>
        <w:t xml:space="preserve"> number of storeys, wall thickness and the width of streets that would be allowed within the Walled City of London. Building Regulations in the UK are considered to stem from this Act. Following the industrial revolution, and mass migration to cities, ther</w:t>
      </w:r>
      <w:r>
        <w:t>e was still overcrowding and shockingly poor standards delivered by private landlords. Many families shared the same space, with insanitary conditions. Council housing was designed to address the failures of the market, and pay for adequate space for livin</w:t>
      </w:r>
      <w:r>
        <w:t xml:space="preserve">g (Carmona, </w:t>
      </w:r>
      <w:proofErr w:type="spellStart"/>
      <w:r>
        <w:t>Gallent</w:t>
      </w:r>
      <w:proofErr w:type="spellEnd"/>
      <w:r>
        <w:t xml:space="preserve"> and </w:t>
      </w:r>
      <w:proofErr w:type="spellStart"/>
      <w:r>
        <w:t>Sarkar</w:t>
      </w:r>
      <w:proofErr w:type="spellEnd"/>
      <w:r>
        <w:t xml:space="preserve">, 2010).  </w:t>
      </w:r>
    </w:p>
    <w:p w:rsidR="000E1865" w:rsidRDefault="000E1865">
      <w:pPr>
        <w:pStyle w:val="normal0"/>
      </w:pPr>
    </w:p>
    <w:p w:rsidR="000E1865" w:rsidRDefault="00B51FCD">
      <w:pPr>
        <w:pStyle w:val="normal0"/>
      </w:pPr>
      <w:r>
        <w:t>The production of the Tudor Walters Report (1918) was a significant step in the evolution of housing standards and was the first to acknowledge housing quality with minimum space standards (Lee, 2021). The report p</w:t>
      </w:r>
      <w:r>
        <w:t>layed a pivotal role and sought to:</w:t>
      </w:r>
      <w:r>
        <w:rPr>
          <w:i/>
        </w:rPr>
        <w:t xml:space="preserve"> “Profoundly influence the general standard of housing in this country and to encourage the building of houses of such quality that they would remain above the acceptable minimum standards for at least sixty years</w:t>
      </w:r>
      <w:r>
        <w:t xml:space="preserve">”. </w:t>
      </w:r>
      <w:proofErr w:type="gramStart"/>
      <w:r>
        <w:t xml:space="preserve">(One </w:t>
      </w:r>
      <w:r>
        <w:t>Hundred Years of Space Standards, p. 18).</w:t>
      </w:r>
      <w:proofErr w:type="gramEnd"/>
      <w:r>
        <w:t xml:space="preserve">  </w:t>
      </w:r>
    </w:p>
    <w:p w:rsidR="000E1865" w:rsidRDefault="000E1865">
      <w:pPr>
        <w:pStyle w:val="normal0"/>
      </w:pPr>
    </w:p>
    <w:p w:rsidR="000E1865" w:rsidRDefault="00B51FCD">
      <w:pPr>
        <w:pStyle w:val="normal0"/>
      </w:pPr>
      <w:r>
        <w:t>The report detailed a number of essential features of each house, including a minimum of three rooms on the ground floor, three bedrooms above, two of which had to be capable of containing two beds, a larder and</w:t>
      </w:r>
      <w:r>
        <w:t xml:space="preserve"> a bathroom. The report also defined the first set of minimum space standards: </w:t>
      </w:r>
    </w:p>
    <w:p w:rsidR="000E1865" w:rsidRDefault="000E1865">
      <w:pPr>
        <w:pStyle w:val="normal0"/>
      </w:pPr>
    </w:p>
    <w:p w:rsidR="000E1865" w:rsidRDefault="00B51FCD">
      <w:pPr>
        <w:pStyle w:val="normal0"/>
        <w:numPr>
          <w:ilvl w:val="0"/>
          <w:numId w:val="1"/>
        </w:numPr>
      </w:pPr>
      <w:r>
        <w:t xml:space="preserve">855 square feet (79.4m2) for a non-parlour house </w:t>
      </w:r>
    </w:p>
    <w:p w:rsidR="000E1865" w:rsidRDefault="00B51FCD">
      <w:pPr>
        <w:pStyle w:val="normal0"/>
        <w:numPr>
          <w:ilvl w:val="0"/>
          <w:numId w:val="1"/>
        </w:numPr>
      </w:pPr>
      <w:r>
        <w:t xml:space="preserve">1055 square feet (98m2) for a parlour house </w:t>
      </w:r>
    </w:p>
    <w:p w:rsidR="000E1865" w:rsidRDefault="00B51FCD">
      <w:pPr>
        <w:pStyle w:val="normal0"/>
        <w:numPr>
          <w:ilvl w:val="0"/>
          <w:numId w:val="1"/>
        </w:numPr>
      </w:pPr>
      <w:r>
        <w:t>Bedrooms of 150 square feet (14m2), 100 square feet (9.3m2) and 65 square feet (</w:t>
      </w:r>
      <w:r>
        <w:t>6m2)</w:t>
      </w:r>
    </w:p>
    <w:p w:rsidR="000E1865" w:rsidRDefault="00B51FCD">
      <w:pPr>
        <w:pStyle w:val="normal0"/>
        <w:numPr>
          <w:ilvl w:val="0"/>
          <w:numId w:val="1"/>
        </w:numPr>
      </w:pPr>
      <w:r>
        <w:t xml:space="preserve">A parlour of 120 square feet (11.15m2) </w:t>
      </w:r>
    </w:p>
    <w:p w:rsidR="000E1865" w:rsidRDefault="000E1865">
      <w:pPr>
        <w:pStyle w:val="normal0"/>
      </w:pPr>
    </w:p>
    <w:p w:rsidR="000E1865" w:rsidRDefault="00B51FCD">
      <w:pPr>
        <w:pStyle w:val="normal0"/>
      </w:pPr>
      <w:r>
        <w:t>The introduction of the Housing Act in 1935 was a further important milestone, with Section 325 making a serious attempt to deal with overcrowded conditions. The Act contained two standards which remain largely</w:t>
      </w:r>
      <w:r>
        <w:t xml:space="preserve"> unchanged today. </w:t>
      </w:r>
    </w:p>
    <w:p w:rsidR="000E1865" w:rsidRDefault="000E1865">
      <w:pPr>
        <w:pStyle w:val="normal0"/>
      </w:pPr>
    </w:p>
    <w:p w:rsidR="000E1865" w:rsidRDefault="00B51FCD">
      <w:pPr>
        <w:pStyle w:val="normal0"/>
      </w:pPr>
      <w:r>
        <w:t xml:space="preserve">The first of these was a ‘room standard’ which defined when overcrowding occurred:  </w:t>
      </w:r>
    </w:p>
    <w:p w:rsidR="000E1865" w:rsidRDefault="000E1865">
      <w:pPr>
        <w:pStyle w:val="normal0"/>
      </w:pPr>
    </w:p>
    <w:p w:rsidR="000E1865" w:rsidRDefault="00B51FCD">
      <w:pPr>
        <w:pStyle w:val="normal0"/>
      </w:pPr>
      <w:r>
        <w:rPr>
          <w:i/>
        </w:rPr>
        <w:lastRenderedPageBreak/>
        <w:t>“...wherever there are so many people in a house that any two or more of those persons, being ten or more years old, and of opposite sexes, not being persons living together as husband and wife, have to sleep in the same room”</w:t>
      </w:r>
      <w:r>
        <w:t xml:space="preserve">. </w:t>
      </w:r>
      <w:proofErr w:type="gramStart"/>
      <w:r>
        <w:t xml:space="preserve">(One Hundred Years of Space </w:t>
      </w:r>
      <w:r>
        <w:t>Standards, p. 20).</w:t>
      </w:r>
      <w:proofErr w:type="gramEnd"/>
      <w:r>
        <w:t xml:space="preserve"> </w:t>
      </w:r>
    </w:p>
    <w:p w:rsidR="000E1865" w:rsidRDefault="000E1865">
      <w:pPr>
        <w:pStyle w:val="normal0"/>
      </w:pPr>
    </w:p>
    <w:p w:rsidR="000E1865" w:rsidRDefault="00B51FCD">
      <w:pPr>
        <w:pStyle w:val="normal0"/>
      </w:pPr>
      <w:r>
        <w:t xml:space="preserve">The second standard involved calculating the maximum number of people for a given dwelling in two ways. Whichever was the lower number became the permitted number with rooms of less than 50 square feet (4.6m2) excluded.  </w:t>
      </w:r>
    </w:p>
    <w:p w:rsidR="000E1865" w:rsidRDefault="000E1865">
      <w:pPr>
        <w:pStyle w:val="normal0"/>
      </w:pPr>
    </w:p>
    <w:p w:rsidR="000E1865" w:rsidRDefault="00B51FCD">
      <w:pPr>
        <w:pStyle w:val="normal0"/>
      </w:pPr>
      <w:r>
        <w:t>The first te</w:t>
      </w:r>
      <w:r>
        <w:t xml:space="preserve">st was based on the number of living rooms in the dwelling:  </w:t>
      </w:r>
    </w:p>
    <w:p w:rsidR="000E1865" w:rsidRDefault="000E1865">
      <w:pPr>
        <w:pStyle w:val="normal0"/>
      </w:pPr>
    </w:p>
    <w:tbl>
      <w:tblPr>
        <w:tblStyle w:val="a"/>
        <w:tblW w:w="6000"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Look w:val="0600"/>
      </w:tblPr>
      <w:tblGrid>
        <w:gridCol w:w="1695"/>
        <w:gridCol w:w="4305"/>
      </w:tblGrid>
      <w:tr w:rsidR="000E1865">
        <w:trPr>
          <w:trHeight w:val="315"/>
        </w:trPr>
        <w:tc>
          <w:tcPr>
            <w:tcW w:w="169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b/>
                <w:sz w:val="24"/>
                <w:szCs w:val="24"/>
              </w:rPr>
              <w:t>Rooms</w:t>
            </w:r>
            <w:r>
              <w:rPr>
                <w:sz w:val="24"/>
                <w:szCs w:val="24"/>
              </w:rPr>
              <w:t xml:space="preserve"> </w:t>
            </w:r>
          </w:p>
        </w:tc>
        <w:tc>
          <w:tcPr>
            <w:tcW w:w="430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b/>
                <w:sz w:val="24"/>
                <w:szCs w:val="24"/>
              </w:rPr>
              <w:t>Persons</w:t>
            </w:r>
            <w:r>
              <w:rPr>
                <w:sz w:val="24"/>
                <w:szCs w:val="24"/>
              </w:rPr>
              <w:t xml:space="preserve"> </w:t>
            </w:r>
          </w:p>
        </w:tc>
      </w:tr>
      <w:tr w:rsidR="000E1865">
        <w:trPr>
          <w:trHeight w:val="315"/>
        </w:trPr>
        <w:tc>
          <w:tcPr>
            <w:tcW w:w="169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1 </w:t>
            </w:r>
          </w:p>
        </w:tc>
        <w:tc>
          <w:tcPr>
            <w:tcW w:w="430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2 </w:t>
            </w:r>
          </w:p>
        </w:tc>
      </w:tr>
      <w:tr w:rsidR="000E1865">
        <w:trPr>
          <w:trHeight w:val="315"/>
        </w:trPr>
        <w:tc>
          <w:tcPr>
            <w:tcW w:w="169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2 </w:t>
            </w:r>
          </w:p>
        </w:tc>
        <w:tc>
          <w:tcPr>
            <w:tcW w:w="430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3 </w:t>
            </w:r>
          </w:p>
        </w:tc>
      </w:tr>
      <w:tr w:rsidR="000E1865">
        <w:trPr>
          <w:trHeight w:val="315"/>
        </w:trPr>
        <w:tc>
          <w:tcPr>
            <w:tcW w:w="169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3 </w:t>
            </w:r>
          </w:p>
        </w:tc>
        <w:tc>
          <w:tcPr>
            <w:tcW w:w="430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5 </w:t>
            </w:r>
          </w:p>
        </w:tc>
      </w:tr>
      <w:tr w:rsidR="000E1865">
        <w:trPr>
          <w:trHeight w:val="315"/>
        </w:trPr>
        <w:tc>
          <w:tcPr>
            <w:tcW w:w="169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4 </w:t>
            </w:r>
          </w:p>
        </w:tc>
        <w:tc>
          <w:tcPr>
            <w:tcW w:w="430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7.5 </w:t>
            </w:r>
          </w:p>
        </w:tc>
      </w:tr>
      <w:tr w:rsidR="000E1865">
        <w:trPr>
          <w:trHeight w:val="885"/>
        </w:trPr>
        <w:tc>
          <w:tcPr>
            <w:tcW w:w="169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5 or more </w:t>
            </w:r>
          </w:p>
        </w:tc>
        <w:tc>
          <w:tcPr>
            <w:tcW w:w="430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10 plus two for each room in excess of five rooms </w:t>
            </w:r>
          </w:p>
        </w:tc>
      </w:tr>
    </w:tbl>
    <w:p w:rsidR="000E1865" w:rsidRDefault="000E1865">
      <w:pPr>
        <w:pStyle w:val="normal0"/>
      </w:pPr>
    </w:p>
    <w:p w:rsidR="000E1865" w:rsidRDefault="00B51FCD">
      <w:pPr>
        <w:pStyle w:val="normal0"/>
      </w:pPr>
      <w:r>
        <w:t>Figure 3: Housing standard based on the number of living rooms as identified within the Housing Act 1935</w:t>
      </w:r>
    </w:p>
    <w:p w:rsidR="000E1865" w:rsidRDefault="000E1865">
      <w:pPr>
        <w:pStyle w:val="normal0"/>
      </w:pPr>
    </w:p>
    <w:p w:rsidR="000E1865" w:rsidRDefault="00B51FCD">
      <w:pPr>
        <w:pStyle w:val="normal0"/>
      </w:pPr>
      <w:r>
        <w:t xml:space="preserve">The second test was based on the size of rooms: </w:t>
      </w:r>
    </w:p>
    <w:p w:rsidR="000E1865" w:rsidRDefault="000E1865">
      <w:pPr>
        <w:pStyle w:val="normal0"/>
      </w:pPr>
    </w:p>
    <w:tbl>
      <w:tblPr>
        <w:tblStyle w:val="a0"/>
        <w:tblW w:w="6015"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Look w:val="0600"/>
      </w:tblPr>
      <w:tblGrid>
        <w:gridCol w:w="3450"/>
        <w:gridCol w:w="2565"/>
      </w:tblGrid>
      <w:tr w:rsidR="000E1865">
        <w:trPr>
          <w:trHeight w:val="315"/>
        </w:trPr>
        <w:tc>
          <w:tcPr>
            <w:tcW w:w="345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b/>
                <w:sz w:val="24"/>
                <w:szCs w:val="24"/>
              </w:rPr>
              <w:t>Size</w:t>
            </w:r>
            <w:r>
              <w:rPr>
                <w:sz w:val="24"/>
                <w:szCs w:val="24"/>
              </w:rPr>
              <w:t xml:space="preserve"> </w:t>
            </w:r>
          </w:p>
        </w:tc>
        <w:tc>
          <w:tcPr>
            <w:tcW w:w="256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b/>
                <w:sz w:val="24"/>
                <w:szCs w:val="24"/>
              </w:rPr>
              <w:t>Persons</w:t>
            </w:r>
            <w:r>
              <w:rPr>
                <w:sz w:val="24"/>
                <w:szCs w:val="24"/>
              </w:rPr>
              <w:t xml:space="preserve"> </w:t>
            </w:r>
          </w:p>
        </w:tc>
      </w:tr>
      <w:tr w:rsidR="000E1865">
        <w:trPr>
          <w:trHeight w:val="600"/>
        </w:trPr>
        <w:tc>
          <w:tcPr>
            <w:tcW w:w="345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50 to less than 70 square feet </w:t>
            </w:r>
          </w:p>
        </w:tc>
        <w:tc>
          <w:tcPr>
            <w:tcW w:w="256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0.5 </w:t>
            </w:r>
          </w:p>
        </w:tc>
      </w:tr>
      <w:tr w:rsidR="000E1865">
        <w:trPr>
          <w:trHeight w:val="600"/>
        </w:trPr>
        <w:tc>
          <w:tcPr>
            <w:tcW w:w="345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70 to less than 90 square feet </w:t>
            </w:r>
          </w:p>
        </w:tc>
        <w:tc>
          <w:tcPr>
            <w:tcW w:w="256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1 </w:t>
            </w:r>
          </w:p>
        </w:tc>
      </w:tr>
      <w:tr w:rsidR="000E1865">
        <w:trPr>
          <w:trHeight w:val="600"/>
        </w:trPr>
        <w:tc>
          <w:tcPr>
            <w:tcW w:w="345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90 to less than 110 square feet </w:t>
            </w:r>
          </w:p>
        </w:tc>
        <w:tc>
          <w:tcPr>
            <w:tcW w:w="256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1.5 </w:t>
            </w:r>
          </w:p>
        </w:tc>
      </w:tr>
      <w:tr w:rsidR="000E1865">
        <w:trPr>
          <w:trHeight w:val="315"/>
        </w:trPr>
        <w:tc>
          <w:tcPr>
            <w:tcW w:w="345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110 square feet or larger </w:t>
            </w:r>
          </w:p>
        </w:tc>
        <w:tc>
          <w:tcPr>
            <w:tcW w:w="256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2 </w:t>
            </w:r>
          </w:p>
        </w:tc>
      </w:tr>
    </w:tbl>
    <w:p w:rsidR="000E1865" w:rsidRDefault="000E1865">
      <w:pPr>
        <w:pStyle w:val="normal0"/>
      </w:pPr>
    </w:p>
    <w:p w:rsidR="000E1865" w:rsidRDefault="00B51FCD">
      <w:pPr>
        <w:pStyle w:val="normal0"/>
      </w:pPr>
      <w:r>
        <w:t>Figure 4: Housing standard based on the size of rooms as identified within the Housing Act 1935</w:t>
      </w:r>
    </w:p>
    <w:p w:rsidR="000E1865" w:rsidRDefault="000E1865">
      <w:pPr>
        <w:pStyle w:val="normal0"/>
      </w:pPr>
    </w:p>
    <w:p w:rsidR="000E1865" w:rsidRDefault="00B51FCD">
      <w:pPr>
        <w:pStyle w:val="normal0"/>
      </w:pPr>
      <w:r>
        <w:t xml:space="preserve">In both cases a child below the age of one was excluded, with children between one and ten counted as a ‘half person’.  </w:t>
      </w:r>
    </w:p>
    <w:p w:rsidR="000E1865" w:rsidRDefault="000E1865">
      <w:pPr>
        <w:pStyle w:val="normal0"/>
      </w:pPr>
    </w:p>
    <w:p w:rsidR="000E1865" w:rsidRDefault="00B51FCD">
      <w:pPr>
        <w:pStyle w:val="normal0"/>
      </w:pPr>
      <w:r>
        <w:t>However, whilst space standards are a positive benchmark that continues to provide people with an adequate space to live in, they have</w:t>
      </w:r>
      <w:r>
        <w:t xml:space="preserve"> become the standard requirement for most, and they are rarely exceeded. Standards were originally intended to be the minimum requirement, not the maximum. Many things have changed regarding lifestyle and expectations compared </w:t>
      </w:r>
      <w:r>
        <w:lastRenderedPageBreak/>
        <w:t>with the 1950’s, so a thoroug</w:t>
      </w:r>
      <w:r>
        <w:t xml:space="preserve">h, more up to date review of space standards is needed. Moreover, research has shown that increasing space standards has little to no financial impact on the delivery of homes (Carmona, </w:t>
      </w:r>
      <w:proofErr w:type="spellStart"/>
      <w:r>
        <w:t>Gallent</w:t>
      </w:r>
      <w:proofErr w:type="spellEnd"/>
      <w:r>
        <w:t xml:space="preserve">, and S, 2010; Lee, 2021). </w:t>
      </w:r>
    </w:p>
    <w:p w:rsidR="000E1865" w:rsidRDefault="000E1865">
      <w:pPr>
        <w:pStyle w:val="normal0"/>
      </w:pPr>
    </w:p>
    <w:p w:rsidR="000E1865" w:rsidRDefault="000E1865">
      <w:pPr>
        <w:pStyle w:val="normal0"/>
      </w:pPr>
    </w:p>
    <w:p w:rsidR="000E1865" w:rsidRDefault="00B51FCD">
      <w:pPr>
        <w:pStyle w:val="normal0"/>
        <w:rPr>
          <w:u w:val="single"/>
        </w:rPr>
      </w:pPr>
      <w:r>
        <w:rPr>
          <w:u w:val="single"/>
        </w:rPr>
        <w:t xml:space="preserve">Current national space standards </w:t>
      </w:r>
    </w:p>
    <w:p w:rsidR="000E1865" w:rsidRDefault="000E1865">
      <w:pPr>
        <w:pStyle w:val="normal0"/>
      </w:pPr>
    </w:p>
    <w:p w:rsidR="000E1865" w:rsidRDefault="00B51FCD">
      <w:pPr>
        <w:pStyle w:val="normal0"/>
      </w:pPr>
      <w:r>
        <w:t>The production of the ‘Nationally Described Space Standards’ (NDSS) in 2015 was one of the outcomes of the UK Government’s 2012-2015 Housing Standards Review, which was motivated by a political desire in which to boost house building and the economy foll</w:t>
      </w:r>
      <w:r>
        <w:t xml:space="preserve">owing the recession in 2007-2008. </w:t>
      </w:r>
    </w:p>
    <w:p w:rsidR="000E1865" w:rsidRDefault="000E1865">
      <w:pPr>
        <w:pStyle w:val="normal0"/>
      </w:pPr>
    </w:p>
    <w:p w:rsidR="000E1865" w:rsidRDefault="00B51FCD">
      <w:pPr>
        <w:pStyle w:val="normal0"/>
      </w:pPr>
      <w:r>
        <w:t xml:space="preserve">The document details internal space within new dwellings across all tenures.  </w:t>
      </w:r>
    </w:p>
    <w:p w:rsidR="000E1865" w:rsidRDefault="000E1865">
      <w:pPr>
        <w:pStyle w:val="normal0"/>
      </w:pPr>
    </w:p>
    <w:tbl>
      <w:tblPr>
        <w:tblStyle w:val="a1"/>
        <w:tblW w:w="9360"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Look w:val="0600"/>
      </w:tblPr>
      <w:tblGrid>
        <w:gridCol w:w="1560"/>
        <w:gridCol w:w="1560"/>
        <w:gridCol w:w="1560"/>
        <w:gridCol w:w="1560"/>
        <w:gridCol w:w="1560"/>
        <w:gridCol w:w="1560"/>
      </w:tblGrid>
      <w:tr w:rsidR="000E1865">
        <w:trPr>
          <w:trHeight w:val="885"/>
        </w:trPr>
        <w:tc>
          <w:tcPr>
            <w:tcW w:w="1560" w:type="dxa"/>
            <w:tcBorders>
              <w:top w:val="single" w:sz="12" w:space="0" w:color="000000"/>
              <w:left w:val="single" w:sz="12" w:space="0" w:color="000000"/>
              <w:bottom w:val="single" w:sz="12" w:space="0" w:color="000000"/>
              <w:right w:val="single" w:sz="12" w:space="0" w:color="000000"/>
            </w:tcBorders>
            <w:tcMar>
              <w:top w:w="0" w:type="dxa"/>
              <w:left w:w="0" w:type="dxa"/>
              <w:bottom w:w="0" w:type="dxa"/>
              <w:right w:w="0" w:type="dxa"/>
            </w:tcMar>
          </w:tcPr>
          <w:p w:rsidR="000E1865" w:rsidRDefault="00B51FCD">
            <w:pPr>
              <w:pStyle w:val="normal0"/>
              <w:rPr>
                <w:sz w:val="24"/>
                <w:szCs w:val="24"/>
              </w:rPr>
            </w:pPr>
            <w:r>
              <w:rPr>
                <w:b/>
                <w:sz w:val="24"/>
                <w:szCs w:val="24"/>
              </w:rPr>
              <w:t>Number of bedrooms (b)</w:t>
            </w:r>
            <w:r>
              <w:rPr>
                <w:sz w:val="24"/>
                <w:szCs w:val="24"/>
              </w:rPr>
              <w:t xml:space="preserve"> </w:t>
            </w:r>
          </w:p>
        </w:tc>
        <w:tc>
          <w:tcPr>
            <w:tcW w:w="1560" w:type="dxa"/>
            <w:tcBorders>
              <w:top w:val="single" w:sz="12" w:space="0" w:color="000000"/>
              <w:left w:val="single" w:sz="12" w:space="0" w:color="000000"/>
              <w:bottom w:val="single" w:sz="12" w:space="0" w:color="000000"/>
              <w:right w:val="single" w:sz="12" w:space="0" w:color="000000"/>
            </w:tcBorders>
            <w:tcMar>
              <w:top w:w="0" w:type="dxa"/>
              <w:left w:w="0" w:type="dxa"/>
              <w:bottom w:w="0" w:type="dxa"/>
              <w:right w:w="0" w:type="dxa"/>
            </w:tcMar>
          </w:tcPr>
          <w:p w:rsidR="000E1865" w:rsidRDefault="00B51FCD">
            <w:pPr>
              <w:pStyle w:val="normal0"/>
              <w:rPr>
                <w:sz w:val="24"/>
                <w:szCs w:val="24"/>
              </w:rPr>
            </w:pPr>
            <w:r>
              <w:rPr>
                <w:b/>
                <w:sz w:val="24"/>
                <w:szCs w:val="24"/>
              </w:rPr>
              <w:t>Number of bed spaces (persons)</w:t>
            </w:r>
            <w:r>
              <w:rPr>
                <w:sz w:val="24"/>
                <w:szCs w:val="24"/>
              </w:rPr>
              <w:t xml:space="preserve"> </w:t>
            </w:r>
          </w:p>
        </w:tc>
        <w:tc>
          <w:tcPr>
            <w:tcW w:w="1560" w:type="dxa"/>
            <w:tcBorders>
              <w:top w:val="single" w:sz="12" w:space="0" w:color="000000"/>
              <w:left w:val="single" w:sz="12" w:space="0" w:color="000000"/>
              <w:bottom w:val="single" w:sz="12" w:space="0" w:color="000000"/>
              <w:right w:val="single" w:sz="12" w:space="0" w:color="000000"/>
            </w:tcBorders>
            <w:tcMar>
              <w:top w:w="0" w:type="dxa"/>
              <w:left w:w="0" w:type="dxa"/>
              <w:bottom w:w="0" w:type="dxa"/>
              <w:right w:w="0" w:type="dxa"/>
            </w:tcMar>
          </w:tcPr>
          <w:p w:rsidR="000E1865" w:rsidRDefault="00B51FCD">
            <w:pPr>
              <w:pStyle w:val="normal0"/>
              <w:rPr>
                <w:sz w:val="24"/>
                <w:szCs w:val="24"/>
              </w:rPr>
            </w:pPr>
            <w:r>
              <w:rPr>
                <w:b/>
                <w:sz w:val="24"/>
                <w:szCs w:val="24"/>
              </w:rPr>
              <w:t>1 storey dwellings</w:t>
            </w:r>
            <w:r>
              <w:rPr>
                <w:sz w:val="24"/>
                <w:szCs w:val="24"/>
              </w:rPr>
              <w:t xml:space="preserve"> </w:t>
            </w:r>
          </w:p>
        </w:tc>
        <w:tc>
          <w:tcPr>
            <w:tcW w:w="1560" w:type="dxa"/>
            <w:tcBorders>
              <w:top w:val="single" w:sz="12" w:space="0" w:color="000000"/>
              <w:left w:val="single" w:sz="12" w:space="0" w:color="000000"/>
              <w:bottom w:val="single" w:sz="12" w:space="0" w:color="000000"/>
              <w:right w:val="single" w:sz="12" w:space="0" w:color="000000"/>
            </w:tcBorders>
            <w:tcMar>
              <w:top w:w="0" w:type="dxa"/>
              <w:left w:w="0" w:type="dxa"/>
              <w:bottom w:w="0" w:type="dxa"/>
              <w:right w:w="0" w:type="dxa"/>
            </w:tcMar>
          </w:tcPr>
          <w:p w:rsidR="000E1865" w:rsidRDefault="00B51FCD">
            <w:pPr>
              <w:pStyle w:val="normal0"/>
              <w:rPr>
                <w:sz w:val="24"/>
                <w:szCs w:val="24"/>
              </w:rPr>
            </w:pPr>
            <w:r>
              <w:rPr>
                <w:b/>
                <w:sz w:val="24"/>
                <w:szCs w:val="24"/>
              </w:rPr>
              <w:t>2 storey dwellings</w:t>
            </w:r>
            <w:r>
              <w:rPr>
                <w:sz w:val="24"/>
                <w:szCs w:val="24"/>
              </w:rPr>
              <w:t xml:space="preserve"> </w:t>
            </w:r>
          </w:p>
        </w:tc>
        <w:tc>
          <w:tcPr>
            <w:tcW w:w="1560" w:type="dxa"/>
            <w:tcBorders>
              <w:top w:val="single" w:sz="12" w:space="0" w:color="000000"/>
              <w:left w:val="single" w:sz="12" w:space="0" w:color="000000"/>
              <w:bottom w:val="single" w:sz="12" w:space="0" w:color="000000"/>
              <w:right w:val="single" w:sz="12" w:space="0" w:color="000000"/>
            </w:tcBorders>
            <w:tcMar>
              <w:top w:w="0" w:type="dxa"/>
              <w:left w:w="0" w:type="dxa"/>
              <w:bottom w:w="0" w:type="dxa"/>
              <w:right w:w="0" w:type="dxa"/>
            </w:tcMar>
          </w:tcPr>
          <w:p w:rsidR="000E1865" w:rsidRDefault="00B51FCD">
            <w:pPr>
              <w:pStyle w:val="normal0"/>
              <w:rPr>
                <w:sz w:val="24"/>
                <w:szCs w:val="24"/>
              </w:rPr>
            </w:pPr>
            <w:r>
              <w:rPr>
                <w:b/>
                <w:sz w:val="24"/>
                <w:szCs w:val="24"/>
              </w:rPr>
              <w:t>3 storey dwellings</w:t>
            </w:r>
            <w:r>
              <w:rPr>
                <w:sz w:val="24"/>
                <w:szCs w:val="24"/>
              </w:rPr>
              <w:t xml:space="preserve"> </w:t>
            </w:r>
          </w:p>
        </w:tc>
        <w:tc>
          <w:tcPr>
            <w:tcW w:w="1560" w:type="dxa"/>
            <w:tcBorders>
              <w:top w:val="single" w:sz="12" w:space="0" w:color="000000"/>
              <w:left w:val="single" w:sz="12" w:space="0" w:color="000000"/>
              <w:bottom w:val="single" w:sz="12" w:space="0" w:color="000000"/>
              <w:right w:val="single" w:sz="12" w:space="0" w:color="000000"/>
            </w:tcBorders>
            <w:tcMar>
              <w:top w:w="0" w:type="dxa"/>
              <w:left w:w="0" w:type="dxa"/>
              <w:bottom w:w="0" w:type="dxa"/>
              <w:right w:w="0" w:type="dxa"/>
            </w:tcMar>
          </w:tcPr>
          <w:p w:rsidR="000E1865" w:rsidRDefault="00B51FCD">
            <w:pPr>
              <w:pStyle w:val="normal0"/>
              <w:rPr>
                <w:sz w:val="24"/>
                <w:szCs w:val="24"/>
              </w:rPr>
            </w:pPr>
            <w:r>
              <w:rPr>
                <w:b/>
                <w:sz w:val="24"/>
                <w:szCs w:val="24"/>
              </w:rPr>
              <w:t>Built-in storage</w:t>
            </w:r>
            <w:r>
              <w:rPr>
                <w:sz w:val="24"/>
                <w:szCs w:val="24"/>
              </w:rPr>
              <w:t xml:space="preserve"> </w:t>
            </w:r>
          </w:p>
        </w:tc>
      </w:tr>
      <w:tr w:rsidR="000E1865">
        <w:trPr>
          <w:trHeight w:val="315"/>
        </w:trPr>
        <w:tc>
          <w:tcPr>
            <w:tcW w:w="1560" w:type="dxa"/>
            <w:vMerge w:val="restart"/>
            <w:tcBorders>
              <w:top w:val="single" w:sz="12" w:space="0" w:color="000000"/>
              <w:left w:val="single" w:sz="6" w:space="0" w:color="000000"/>
              <w:bottom w:val="single" w:sz="12"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1b </w:t>
            </w:r>
          </w:p>
        </w:tc>
        <w:tc>
          <w:tcPr>
            <w:tcW w:w="1560" w:type="dxa"/>
            <w:tcBorders>
              <w:top w:val="single" w:sz="12"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1p </w:t>
            </w:r>
          </w:p>
        </w:tc>
        <w:tc>
          <w:tcPr>
            <w:tcW w:w="1560" w:type="dxa"/>
            <w:tcBorders>
              <w:top w:val="single" w:sz="12"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39 (37) * </w:t>
            </w:r>
          </w:p>
        </w:tc>
        <w:tc>
          <w:tcPr>
            <w:tcW w:w="1560" w:type="dxa"/>
            <w:tcBorders>
              <w:top w:val="single" w:sz="12" w:space="0" w:color="000000"/>
              <w:left w:val="single" w:sz="6" w:space="0" w:color="000000"/>
              <w:bottom w:val="single" w:sz="6" w:space="0" w:color="000000"/>
              <w:right w:val="single" w:sz="6" w:space="0" w:color="000000"/>
            </w:tcBorders>
            <w:shd w:val="clear" w:color="auto" w:fill="E7E6E6"/>
            <w:tcMar>
              <w:top w:w="0" w:type="dxa"/>
              <w:left w:w="0" w:type="dxa"/>
              <w:bottom w:w="0" w:type="dxa"/>
              <w:right w:w="0" w:type="dxa"/>
            </w:tcMar>
          </w:tcPr>
          <w:p w:rsidR="000E1865" w:rsidRDefault="00B51FCD">
            <w:pPr>
              <w:pStyle w:val="normal0"/>
              <w:rPr>
                <w:sz w:val="24"/>
                <w:szCs w:val="24"/>
              </w:rPr>
            </w:pPr>
            <w:r>
              <w:rPr>
                <w:sz w:val="24"/>
                <w:szCs w:val="24"/>
              </w:rPr>
              <w:t xml:space="preserve"> </w:t>
            </w:r>
          </w:p>
        </w:tc>
        <w:tc>
          <w:tcPr>
            <w:tcW w:w="1560" w:type="dxa"/>
            <w:tcBorders>
              <w:top w:val="single" w:sz="12" w:space="0" w:color="000000"/>
              <w:left w:val="single" w:sz="6" w:space="0" w:color="000000"/>
              <w:bottom w:val="single" w:sz="6" w:space="0" w:color="000000"/>
              <w:right w:val="single" w:sz="6" w:space="0" w:color="000000"/>
            </w:tcBorders>
            <w:shd w:val="clear" w:color="auto" w:fill="E7E6E6"/>
            <w:tcMar>
              <w:top w:w="0" w:type="dxa"/>
              <w:left w:w="0" w:type="dxa"/>
              <w:bottom w:w="0" w:type="dxa"/>
              <w:right w:w="0" w:type="dxa"/>
            </w:tcMar>
          </w:tcPr>
          <w:p w:rsidR="000E1865" w:rsidRDefault="00B51FCD">
            <w:pPr>
              <w:pStyle w:val="normal0"/>
              <w:rPr>
                <w:sz w:val="24"/>
                <w:szCs w:val="24"/>
              </w:rPr>
            </w:pPr>
            <w:r>
              <w:rPr>
                <w:sz w:val="24"/>
                <w:szCs w:val="24"/>
              </w:rPr>
              <w:t xml:space="preserve"> </w:t>
            </w:r>
          </w:p>
        </w:tc>
        <w:tc>
          <w:tcPr>
            <w:tcW w:w="1560" w:type="dxa"/>
            <w:tcBorders>
              <w:top w:val="single" w:sz="12"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1.0 </w:t>
            </w:r>
          </w:p>
        </w:tc>
      </w:tr>
      <w:tr w:rsidR="000E1865">
        <w:trPr>
          <w:trHeight w:val="315"/>
        </w:trPr>
        <w:tc>
          <w:tcPr>
            <w:tcW w:w="1560" w:type="dxa"/>
            <w:vMerge/>
            <w:tcBorders>
              <w:top w:val="single" w:sz="12" w:space="0" w:color="000000"/>
              <w:left w:val="single" w:sz="6" w:space="0" w:color="000000"/>
              <w:bottom w:val="single" w:sz="12" w:space="0" w:color="000000"/>
              <w:right w:val="single" w:sz="6" w:space="0" w:color="000000"/>
            </w:tcBorders>
            <w:shd w:val="clear" w:color="auto" w:fill="auto"/>
            <w:tcMar>
              <w:top w:w="100" w:type="dxa"/>
              <w:left w:w="100" w:type="dxa"/>
              <w:bottom w:w="100" w:type="dxa"/>
              <w:right w:w="100" w:type="dxa"/>
            </w:tcMar>
          </w:tcPr>
          <w:p w:rsidR="000E1865" w:rsidRDefault="000E1865">
            <w:pPr>
              <w:pStyle w:val="normal0"/>
              <w:rPr>
                <w:sz w:val="18"/>
                <w:szCs w:val="18"/>
              </w:rPr>
            </w:pPr>
          </w:p>
        </w:tc>
        <w:tc>
          <w:tcPr>
            <w:tcW w:w="1560" w:type="dxa"/>
            <w:tcBorders>
              <w:top w:val="single" w:sz="6" w:space="0" w:color="000000"/>
              <w:left w:val="single" w:sz="6" w:space="0" w:color="000000"/>
              <w:bottom w:val="single" w:sz="12" w:space="0" w:color="000000"/>
              <w:right w:val="single" w:sz="6" w:space="0" w:color="000000"/>
            </w:tcBorders>
            <w:shd w:val="clear" w:color="auto" w:fill="auto"/>
            <w:tcMar>
              <w:top w:w="0" w:type="dxa"/>
              <w:left w:w="0" w:type="dxa"/>
              <w:bottom w:w="0" w:type="dxa"/>
              <w:right w:w="0" w:type="dxa"/>
            </w:tcMar>
          </w:tcPr>
          <w:p w:rsidR="000E1865" w:rsidRDefault="00B51FCD">
            <w:pPr>
              <w:pStyle w:val="normal0"/>
              <w:rPr>
                <w:sz w:val="24"/>
                <w:szCs w:val="24"/>
              </w:rPr>
            </w:pPr>
            <w:r>
              <w:rPr>
                <w:sz w:val="24"/>
                <w:szCs w:val="24"/>
              </w:rPr>
              <w:t xml:space="preserve">2p </w:t>
            </w:r>
          </w:p>
        </w:tc>
        <w:tc>
          <w:tcPr>
            <w:tcW w:w="1560" w:type="dxa"/>
            <w:tcBorders>
              <w:top w:val="single" w:sz="6" w:space="0" w:color="000000"/>
              <w:left w:val="single" w:sz="6" w:space="0" w:color="000000"/>
              <w:bottom w:val="single" w:sz="12" w:space="0" w:color="000000"/>
              <w:right w:val="single" w:sz="6" w:space="0" w:color="000000"/>
            </w:tcBorders>
            <w:shd w:val="clear" w:color="auto" w:fill="auto"/>
            <w:tcMar>
              <w:top w:w="0" w:type="dxa"/>
              <w:left w:w="0" w:type="dxa"/>
              <w:bottom w:w="0" w:type="dxa"/>
              <w:right w:w="0" w:type="dxa"/>
            </w:tcMar>
          </w:tcPr>
          <w:p w:rsidR="000E1865" w:rsidRDefault="00B51FCD">
            <w:pPr>
              <w:pStyle w:val="normal0"/>
              <w:rPr>
                <w:sz w:val="24"/>
                <w:szCs w:val="24"/>
              </w:rPr>
            </w:pPr>
            <w:r>
              <w:rPr>
                <w:sz w:val="24"/>
                <w:szCs w:val="24"/>
              </w:rPr>
              <w:t xml:space="preserve">50 </w:t>
            </w:r>
          </w:p>
        </w:tc>
        <w:tc>
          <w:tcPr>
            <w:tcW w:w="1560" w:type="dxa"/>
            <w:tcBorders>
              <w:top w:val="single" w:sz="6" w:space="0" w:color="000000"/>
              <w:left w:val="single" w:sz="6" w:space="0" w:color="000000"/>
              <w:bottom w:val="single" w:sz="12" w:space="0" w:color="000000"/>
              <w:right w:val="single" w:sz="6" w:space="0" w:color="000000"/>
            </w:tcBorders>
            <w:shd w:val="clear" w:color="auto" w:fill="auto"/>
            <w:tcMar>
              <w:top w:w="0" w:type="dxa"/>
              <w:left w:w="0" w:type="dxa"/>
              <w:bottom w:w="0" w:type="dxa"/>
              <w:right w:w="0" w:type="dxa"/>
            </w:tcMar>
          </w:tcPr>
          <w:p w:rsidR="000E1865" w:rsidRDefault="00B51FCD">
            <w:pPr>
              <w:pStyle w:val="normal0"/>
              <w:rPr>
                <w:sz w:val="24"/>
                <w:szCs w:val="24"/>
              </w:rPr>
            </w:pPr>
            <w:r>
              <w:rPr>
                <w:sz w:val="24"/>
                <w:szCs w:val="24"/>
              </w:rPr>
              <w:t xml:space="preserve">58 </w:t>
            </w:r>
          </w:p>
        </w:tc>
        <w:tc>
          <w:tcPr>
            <w:tcW w:w="1560" w:type="dxa"/>
            <w:tcBorders>
              <w:top w:val="single" w:sz="6" w:space="0" w:color="000000"/>
              <w:left w:val="single" w:sz="6" w:space="0" w:color="000000"/>
              <w:bottom w:val="single" w:sz="12" w:space="0" w:color="000000"/>
              <w:right w:val="single" w:sz="6" w:space="0" w:color="000000"/>
            </w:tcBorders>
            <w:shd w:val="clear" w:color="auto" w:fill="E7E6E6"/>
            <w:tcMar>
              <w:top w:w="0" w:type="dxa"/>
              <w:left w:w="0" w:type="dxa"/>
              <w:bottom w:w="0" w:type="dxa"/>
              <w:right w:w="0" w:type="dxa"/>
            </w:tcMar>
          </w:tcPr>
          <w:p w:rsidR="000E1865" w:rsidRDefault="00B51FCD">
            <w:pPr>
              <w:pStyle w:val="normal0"/>
              <w:rPr>
                <w:sz w:val="24"/>
                <w:szCs w:val="24"/>
              </w:rPr>
            </w:pPr>
            <w:r>
              <w:rPr>
                <w:sz w:val="24"/>
                <w:szCs w:val="24"/>
              </w:rPr>
              <w:t xml:space="preserve"> </w:t>
            </w:r>
          </w:p>
        </w:tc>
        <w:tc>
          <w:tcPr>
            <w:tcW w:w="1560" w:type="dxa"/>
            <w:tcBorders>
              <w:top w:val="single" w:sz="6" w:space="0" w:color="000000"/>
              <w:left w:val="single" w:sz="6" w:space="0" w:color="000000"/>
              <w:bottom w:val="single" w:sz="12" w:space="0" w:color="000000"/>
              <w:right w:val="single" w:sz="6" w:space="0" w:color="000000"/>
            </w:tcBorders>
            <w:shd w:val="clear" w:color="auto" w:fill="auto"/>
            <w:tcMar>
              <w:top w:w="0" w:type="dxa"/>
              <w:left w:w="0" w:type="dxa"/>
              <w:bottom w:w="0" w:type="dxa"/>
              <w:right w:w="0" w:type="dxa"/>
            </w:tcMar>
          </w:tcPr>
          <w:p w:rsidR="000E1865" w:rsidRDefault="00B51FCD">
            <w:pPr>
              <w:pStyle w:val="normal0"/>
              <w:rPr>
                <w:sz w:val="24"/>
                <w:szCs w:val="24"/>
              </w:rPr>
            </w:pPr>
            <w:r>
              <w:rPr>
                <w:sz w:val="24"/>
                <w:szCs w:val="24"/>
              </w:rPr>
              <w:t xml:space="preserve">1.5 </w:t>
            </w:r>
          </w:p>
        </w:tc>
      </w:tr>
      <w:tr w:rsidR="000E1865">
        <w:trPr>
          <w:trHeight w:val="315"/>
        </w:trPr>
        <w:tc>
          <w:tcPr>
            <w:tcW w:w="1560" w:type="dxa"/>
            <w:vMerge w:val="restart"/>
            <w:tcBorders>
              <w:top w:val="single" w:sz="12" w:space="0" w:color="000000"/>
              <w:left w:val="single" w:sz="6" w:space="0" w:color="000000"/>
              <w:bottom w:val="single" w:sz="12" w:space="0" w:color="000000"/>
              <w:right w:val="single" w:sz="6" w:space="0" w:color="000000"/>
            </w:tcBorders>
            <w:shd w:val="clear" w:color="auto" w:fill="auto"/>
            <w:tcMar>
              <w:top w:w="0" w:type="dxa"/>
              <w:left w:w="0" w:type="dxa"/>
              <w:bottom w:w="0" w:type="dxa"/>
              <w:right w:w="0" w:type="dxa"/>
            </w:tcMar>
          </w:tcPr>
          <w:p w:rsidR="000E1865" w:rsidRDefault="00B51FCD">
            <w:pPr>
              <w:pStyle w:val="normal0"/>
              <w:rPr>
                <w:sz w:val="24"/>
                <w:szCs w:val="24"/>
              </w:rPr>
            </w:pPr>
            <w:r>
              <w:rPr>
                <w:sz w:val="24"/>
                <w:szCs w:val="24"/>
              </w:rPr>
              <w:t xml:space="preserve">2b </w:t>
            </w:r>
          </w:p>
        </w:tc>
        <w:tc>
          <w:tcPr>
            <w:tcW w:w="1560" w:type="dxa"/>
            <w:tcBorders>
              <w:top w:val="single" w:sz="12"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0E1865" w:rsidRDefault="00B51FCD">
            <w:pPr>
              <w:pStyle w:val="normal0"/>
              <w:rPr>
                <w:sz w:val="24"/>
                <w:szCs w:val="24"/>
              </w:rPr>
            </w:pPr>
            <w:r>
              <w:rPr>
                <w:sz w:val="24"/>
                <w:szCs w:val="24"/>
              </w:rPr>
              <w:t xml:space="preserve">3p </w:t>
            </w:r>
          </w:p>
        </w:tc>
        <w:tc>
          <w:tcPr>
            <w:tcW w:w="1560" w:type="dxa"/>
            <w:tcBorders>
              <w:top w:val="single" w:sz="12"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0E1865" w:rsidRDefault="00B51FCD">
            <w:pPr>
              <w:pStyle w:val="normal0"/>
              <w:rPr>
                <w:sz w:val="24"/>
                <w:szCs w:val="24"/>
              </w:rPr>
            </w:pPr>
            <w:r>
              <w:rPr>
                <w:sz w:val="24"/>
                <w:szCs w:val="24"/>
              </w:rPr>
              <w:t xml:space="preserve">61 </w:t>
            </w:r>
          </w:p>
        </w:tc>
        <w:tc>
          <w:tcPr>
            <w:tcW w:w="1560" w:type="dxa"/>
            <w:tcBorders>
              <w:top w:val="single" w:sz="12"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0E1865" w:rsidRDefault="00B51FCD">
            <w:pPr>
              <w:pStyle w:val="normal0"/>
              <w:rPr>
                <w:sz w:val="24"/>
                <w:szCs w:val="24"/>
              </w:rPr>
            </w:pPr>
            <w:r>
              <w:rPr>
                <w:sz w:val="24"/>
                <w:szCs w:val="24"/>
              </w:rPr>
              <w:t xml:space="preserve">70 </w:t>
            </w:r>
          </w:p>
        </w:tc>
        <w:tc>
          <w:tcPr>
            <w:tcW w:w="1560" w:type="dxa"/>
            <w:tcBorders>
              <w:top w:val="single" w:sz="12" w:space="0" w:color="000000"/>
              <w:left w:val="single" w:sz="6" w:space="0" w:color="000000"/>
              <w:bottom w:val="single" w:sz="6" w:space="0" w:color="000000"/>
              <w:right w:val="single" w:sz="6" w:space="0" w:color="000000"/>
            </w:tcBorders>
            <w:shd w:val="clear" w:color="auto" w:fill="E7E6E6"/>
            <w:tcMar>
              <w:top w:w="0" w:type="dxa"/>
              <w:left w:w="0" w:type="dxa"/>
              <w:bottom w:w="0" w:type="dxa"/>
              <w:right w:w="0" w:type="dxa"/>
            </w:tcMar>
          </w:tcPr>
          <w:p w:rsidR="000E1865" w:rsidRDefault="00B51FCD">
            <w:pPr>
              <w:pStyle w:val="normal0"/>
              <w:rPr>
                <w:sz w:val="24"/>
                <w:szCs w:val="24"/>
              </w:rPr>
            </w:pPr>
            <w:r>
              <w:rPr>
                <w:sz w:val="24"/>
                <w:szCs w:val="24"/>
              </w:rPr>
              <w:t xml:space="preserve"> </w:t>
            </w:r>
          </w:p>
        </w:tc>
        <w:tc>
          <w:tcPr>
            <w:tcW w:w="1560" w:type="dxa"/>
            <w:vMerge w:val="restart"/>
            <w:tcBorders>
              <w:top w:val="single" w:sz="12" w:space="0" w:color="000000"/>
              <w:left w:val="single" w:sz="6" w:space="0" w:color="000000"/>
              <w:bottom w:val="single" w:sz="12" w:space="0" w:color="000000"/>
              <w:right w:val="single" w:sz="6" w:space="0" w:color="000000"/>
            </w:tcBorders>
            <w:shd w:val="clear" w:color="auto" w:fill="auto"/>
            <w:tcMar>
              <w:top w:w="0" w:type="dxa"/>
              <w:left w:w="0" w:type="dxa"/>
              <w:bottom w:w="0" w:type="dxa"/>
              <w:right w:w="0" w:type="dxa"/>
            </w:tcMar>
          </w:tcPr>
          <w:p w:rsidR="000E1865" w:rsidRDefault="00B51FCD">
            <w:pPr>
              <w:pStyle w:val="normal0"/>
              <w:rPr>
                <w:sz w:val="24"/>
                <w:szCs w:val="24"/>
              </w:rPr>
            </w:pPr>
            <w:r>
              <w:rPr>
                <w:sz w:val="24"/>
                <w:szCs w:val="24"/>
              </w:rPr>
              <w:t xml:space="preserve">2.0 </w:t>
            </w:r>
          </w:p>
        </w:tc>
      </w:tr>
      <w:tr w:rsidR="000E1865">
        <w:trPr>
          <w:trHeight w:val="315"/>
        </w:trPr>
        <w:tc>
          <w:tcPr>
            <w:tcW w:w="1560" w:type="dxa"/>
            <w:vMerge/>
            <w:tcBorders>
              <w:top w:val="single" w:sz="12" w:space="0" w:color="000000"/>
              <w:left w:val="single" w:sz="6" w:space="0" w:color="000000"/>
              <w:bottom w:val="single" w:sz="12" w:space="0" w:color="000000"/>
              <w:right w:val="single" w:sz="6" w:space="0" w:color="000000"/>
            </w:tcBorders>
            <w:shd w:val="clear" w:color="auto" w:fill="auto"/>
            <w:tcMar>
              <w:top w:w="100" w:type="dxa"/>
              <w:left w:w="100" w:type="dxa"/>
              <w:bottom w:w="100" w:type="dxa"/>
              <w:right w:w="100" w:type="dxa"/>
            </w:tcMar>
          </w:tcPr>
          <w:p w:rsidR="000E1865" w:rsidRDefault="000E1865">
            <w:pPr>
              <w:pStyle w:val="normal0"/>
              <w:rPr>
                <w:sz w:val="18"/>
                <w:szCs w:val="18"/>
              </w:rPr>
            </w:pPr>
          </w:p>
        </w:tc>
        <w:tc>
          <w:tcPr>
            <w:tcW w:w="1560" w:type="dxa"/>
            <w:tcBorders>
              <w:top w:val="single" w:sz="6" w:space="0" w:color="000000"/>
              <w:left w:val="single" w:sz="6" w:space="0" w:color="000000"/>
              <w:bottom w:val="single" w:sz="12" w:space="0" w:color="000000"/>
              <w:right w:val="single" w:sz="6" w:space="0" w:color="000000"/>
            </w:tcBorders>
            <w:shd w:val="clear" w:color="auto" w:fill="auto"/>
            <w:tcMar>
              <w:top w:w="0" w:type="dxa"/>
              <w:left w:w="0" w:type="dxa"/>
              <w:bottom w:w="0" w:type="dxa"/>
              <w:right w:w="0" w:type="dxa"/>
            </w:tcMar>
          </w:tcPr>
          <w:p w:rsidR="000E1865" w:rsidRDefault="00B51FCD">
            <w:pPr>
              <w:pStyle w:val="normal0"/>
              <w:rPr>
                <w:sz w:val="24"/>
                <w:szCs w:val="24"/>
              </w:rPr>
            </w:pPr>
            <w:r>
              <w:rPr>
                <w:sz w:val="24"/>
                <w:szCs w:val="24"/>
              </w:rPr>
              <w:t xml:space="preserve">4p </w:t>
            </w:r>
          </w:p>
        </w:tc>
        <w:tc>
          <w:tcPr>
            <w:tcW w:w="1560" w:type="dxa"/>
            <w:tcBorders>
              <w:top w:val="single" w:sz="6" w:space="0" w:color="000000"/>
              <w:left w:val="single" w:sz="6" w:space="0" w:color="000000"/>
              <w:bottom w:val="single" w:sz="12" w:space="0" w:color="000000"/>
              <w:right w:val="single" w:sz="6" w:space="0" w:color="000000"/>
            </w:tcBorders>
            <w:shd w:val="clear" w:color="auto" w:fill="auto"/>
            <w:tcMar>
              <w:top w:w="0" w:type="dxa"/>
              <w:left w:w="0" w:type="dxa"/>
              <w:bottom w:w="0" w:type="dxa"/>
              <w:right w:w="0" w:type="dxa"/>
            </w:tcMar>
          </w:tcPr>
          <w:p w:rsidR="000E1865" w:rsidRDefault="00B51FCD">
            <w:pPr>
              <w:pStyle w:val="normal0"/>
              <w:rPr>
                <w:sz w:val="24"/>
                <w:szCs w:val="24"/>
              </w:rPr>
            </w:pPr>
            <w:r>
              <w:rPr>
                <w:sz w:val="24"/>
                <w:szCs w:val="24"/>
              </w:rPr>
              <w:t xml:space="preserve">70 </w:t>
            </w:r>
          </w:p>
        </w:tc>
        <w:tc>
          <w:tcPr>
            <w:tcW w:w="1560" w:type="dxa"/>
            <w:tcBorders>
              <w:top w:val="single" w:sz="6" w:space="0" w:color="000000"/>
              <w:left w:val="single" w:sz="6" w:space="0" w:color="000000"/>
              <w:bottom w:val="single" w:sz="12" w:space="0" w:color="000000"/>
              <w:right w:val="single" w:sz="6" w:space="0" w:color="000000"/>
            </w:tcBorders>
            <w:shd w:val="clear" w:color="auto" w:fill="auto"/>
            <w:tcMar>
              <w:top w:w="0" w:type="dxa"/>
              <w:left w:w="0" w:type="dxa"/>
              <w:bottom w:w="0" w:type="dxa"/>
              <w:right w:w="0" w:type="dxa"/>
            </w:tcMar>
          </w:tcPr>
          <w:p w:rsidR="000E1865" w:rsidRDefault="00B51FCD">
            <w:pPr>
              <w:pStyle w:val="normal0"/>
              <w:rPr>
                <w:sz w:val="24"/>
                <w:szCs w:val="24"/>
              </w:rPr>
            </w:pPr>
            <w:r>
              <w:rPr>
                <w:sz w:val="24"/>
                <w:szCs w:val="24"/>
              </w:rPr>
              <w:t xml:space="preserve">79 </w:t>
            </w:r>
          </w:p>
        </w:tc>
        <w:tc>
          <w:tcPr>
            <w:tcW w:w="1560" w:type="dxa"/>
            <w:tcBorders>
              <w:top w:val="single" w:sz="6" w:space="0" w:color="000000"/>
              <w:left w:val="single" w:sz="6" w:space="0" w:color="000000"/>
              <w:bottom w:val="single" w:sz="12" w:space="0" w:color="000000"/>
              <w:right w:val="single" w:sz="6" w:space="0" w:color="000000"/>
            </w:tcBorders>
            <w:shd w:val="clear" w:color="auto" w:fill="E7E6E6"/>
            <w:tcMar>
              <w:top w:w="0" w:type="dxa"/>
              <w:left w:w="0" w:type="dxa"/>
              <w:bottom w:w="0" w:type="dxa"/>
              <w:right w:w="0" w:type="dxa"/>
            </w:tcMar>
          </w:tcPr>
          <w:p w:rsidR="000E1865" w:rsidRDefault="00B51FCD">
            <w:pPr>
              <w:pStyle w:val="normal0"/>
              <w:rPr>
                <w:sz w:val="24"/>
                <w:szCs w:val="24"/>
              </w:rPr>
            </w:pPr>
            <w:r>
              <w:rPr>
                <w:sz w:val="24"/>
                <w:szCs w:val="24"/>
              </w:rPr>
              <w:t xml:space="preserve"> </w:t>
            </w:r>
          </w:p>
        </w:tc>
        <w:tc>
          <w:tcPr>
            <w:tcW w:w="1560" w:type="dxa"/>
            <w:vMerge/>
            <w:tcBorders>
              <w:top w:val="single" w:sz="12" w:space="0" w:color="000000"/>
              <w:left w:val="single" w:sz="6" w:space="0" w:color="000000"/>
              <w:bottom w:val="single" w:sz="12" w:space="0" w:color="000000"/>
              <w:right w:val="single" w:sz="6" w:space="0" w:color="000000"/>
            </w:tcBorders>
            <w:shd w:val="clear" w:color="auto" w:fill="auto"/>
            <w:tcMar>
              <w:top w:w="100" w:type="dxa"/>
              <w:left w:w="100" w:type="dxa"/>
              <w:bottom w:w="100" w:type="dxa"/>
              <w:right w:w="100" w:type="dxa"/>
            </w:tcMar>
          </w:tcPr>
          <w:p w:rsidR="000E1865" w:rsidRDefault="000E1865">
            <w:pPr>
              <w:pStyle w:val="normal0"/>
              <w:rPr>
                <w:sz w:val="18"/>
                <w:szCs w:val="18"/>
              </w:rPr>
            </w:pPr>
          </w:p>
        </w:tc>
      </w:tr>
      <w:tr w:rsidR="000E1865">
        <w:trPr>
          <w:trHeight w:val="315"/>
        </w:trPr>
        <w:tc>
          <w:tcPr>
            <w:tcW w:w="1560" w:type="dxa"/>
            <w:vMerge w:val="restart"/>
            <w:tcBorders>
              <w:top w:val="single" w:sz="12" w:space="0" w:color="000000"/>
              <w:left w:val="single" w:sz="6" w:space="0" w:color="000000"/>
              <w:bottom w:val="single" w:sz="12" w:space="0" w:color="000000"/>
              <w:right w:val="single" w:sz="6" w:space="0" w:color="000000"/>
            </w:tcBorders>
            <w:shd w:val="clear" w:color="auto" w:fill="auto"/>
            <w:tcMar>
              <w:top w:w="0" w:type="dxa"/>
              <w:left w:w="0" w:type="dxa"/>
              <w:bottom w:w="0" w:type="dxa"/>
              <w:right w:w="0" w:type="dxa"/>
            </w:tcMar>
          </w:tcPr>
          <w:p w:rsidR="000E1865" w:rsidRDefault="00B51FCD">
            <w:pPr>
              <w:pStyle w:val="normal0"/>
              <w:rPr>
                <w:sz w:val="24"/>
                <w:szCs w:val="24"/>
              </w:rPr>
            </w:pPr>
            <w:r>
              <w:rPr>
                <w:sz w:val="24"/>
                <w:szCs w:val="24"/>
              </w:rPr>
              <w:t xml:space="preserve">3b </w:t>
            </w:r>
          </w:p>
        </w:tc>
        <w:tc>
          <w:tcPr>
            <w:tcW w:w="1560" w:type="dxa"/>
            <w:tcBorders>
              <w:top w:val="single" w:sz="12"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0E1865" w:rsidRDefault="00B51FCD">
            <w:pPr>
              <w:pStyle w:val="normal0"/>
              <w:rPr>
                <w:sz w:val="24"/>
                <w:szCs w:val="24"/>
              </w:rPr>
            </w:pPr>
            <w:r>
              <w:rPr>
                <w:sz w:val="24"/>
                <w:szCs w:val="24"/>
              </w:rPr>
              <w:t xml:space="preserve">4p </w:t>
            </w:r>
          </w:p>
        </w:tc>
        <w:tc>
          <w:tcPr>
            <w:tcW w:w="1560" w:type="dxa"/>
            <w:tcBorders>
              <w:top w:val="single" w:sz="12"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0E1865" w:rsidRDefault="00B51FCD">
            <w:pPr>
              <w:pStyle w:val="normal0"/>
              <w:rPr>
                <w:sz w:val="24"/>
                <w:szCs w:val="24"/>
              </w:rPr>
            </w:pPr>
            <w:r>
              <w:rPr>
                <w:sz w:val="24"/>
                <w:szCs w:val="24"/>
              </w:rPr>
              <w:t xml:space="preserve">74 </w:t>
            </w:r>
          </w:p>
        </w:tc>
        <w:tc>
          <w:tcPr>
            <w:tcW w:w="1560" w:type="dxa"/>
            <w:tcBorders>
              <w:top w:val="single" w:sz="12"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0E1865" w:rsidRDefault="00B51FCD">
            <w:pPr>
              <w:pStyle w:val="normal0"/>
              <w:rPr>
                <w:sz w:val="24"/>
                <w:szCs w:val="24"/>
              </w:rPr>
            </w:pPr>
            <w:r>
              <w:rPr>
                <w:sz w:val="24"/>
                <w:szCs w:val="24"/>
              </w:rPr>
              <w:t xml:space="preserve">84 </w:t>
            </w:r>
          </w:p>
        </w:tc>
        <w:tc>
          <w:tcPr>
            <w:tcW w:w="1560" w:type="dxa"/>
            <w:tcBorders>
              <w:top w:val="single" w:sz="12"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0E1865" w:rsidRDefault="00B51FCD">
            <w:pPr>
              <w:pStyle w:val="normal0"/>
              <w:rPr>
                <w:sz w:val="24"/>
                <w:szCs w:val="24"/>
              </w:rPr>
            </w:pPr>
            <w:r>
              <w:rPr>
                <w:sz w:val="24"/>
                <w:szCs w:val="24"/>
              </w:rPr>
              <w:t xml:space="preserve">90 </w:t>
            </w:r>
          </w:p>
        </w:tc>
        <w:tc>
          <w:tcPr>
            <w:tcW w:w="1560" w:type="dxa"/>
            <w:vMerge w:val="restart"/>
            <w:tcBorders>
              <w:top w:val="single" w:sz="12" w:space="0" w:color="000000"/>
              <w:left w:val="single" w:sz="6" w:space="0" w:color="000000"/>
              <w:bottom w:val="single" w:sz="12" w:space="0" w:color="000000"/>
              <w:right w:val="single" w:sz="6" w:space="0" w:color="000000"/>
            </w:tcBorders>
            <w:shd w:val="clear" w:color="auto" w:fill="auto"/>
            <w:tcMar>
              <w:top w:w="0" w:type="dxa"/>
              <w:left w:w="0" w:type="dxa"/>
              <w:bottom w:w="0" w:type="dxa"/>
              <w:right w:w="0" w:type="dxa"/>
            </w:tcMar>
          </w:tcPr>
          <w:p w:rsidR="000E1865" w:rsidRDefault="00B51FCD">
            <w:pPr>
              <w:pStyle w:val="normal0"/>
              <w:rPr>
                <w:sz w:val="24"/>
                <w:szCs w:val="24"/>
              </w:rPr>
            </w:pPr>
            <w:r>
              <w:rPr>
                <w:sz w:val="24"/>
                <w:szCs w:val="24"/>
              </w:rPr>
              <w:t xml:space="preserve">2.5 </w:t>
            </w:r>
          </w:p>
        </w:tc>
      </w:tr>
      <w:tr w:rsidR="000E1865">
        <w:trPr>
          <w:trHeight w:val="315"/>
        </w:trPr>
        <w:tc>
          <w:tcPr>
            <w:tcW w:w="1560" w:type="dxa"/>
            <w:vMerge/>
            <w:tcBorders>
              <w:top w:val="single" w:sz="12" w:space="0" w:color="000000"/>
              <w:left w:val="single" w:sz="6" w:space="0" w:color="000000"/>
              <w:bottom w:val="single" w:sz="12" w:space="0" w:color="000000"/>
              <w:right w:val="single" w:sz="6" w:space="0" w:color="000000"/>
            </w:tcBorders>
            <w:shd w:val="clear" w:color="auto" w:fill="auto"/>
            <w:tcMar>
              <w:top w:w="100" w:type="dxa"/>
              <w:left w:w="100" w:type="dxa"/>
              <w:bottom w:w="100" w:type="dxa"/>
              <w:right w:w="100" w:type="dxa"/>
            </w:tcMar>
          </w:tcPr>
          <w:p w:rsidR="000E1865" w:rsidRDefault="000E1865">
            <w:pPr>
              <w:pStyle w:val="normal0"/>
              <w:rPr>
                <w:sz w:val="18"/>
                <w:szCs w:val="18"/>
              </w:rPr>
            </w:pP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0E1865" w:rsidRDefault="00B51FCD">
            <w:pPr>
              <w:pStyle w:val="normal0"/>
              <w:rPr>
                <w:sz w:val="24"/>
                <w:szCs w:val="24"/>
              </w:rPr>
            </w:pPr>
            <w:r>
              <w:rPr>
                <w:sz w:val="24"/>
                <w:szCs w:val="24"/>
              </w:rPr>
              <w:t xml:space="preserve">5p </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0E1865" w:rsidRDefault="00B51FCD">
            <w:pPr>
              <w:pStyle w:val="normal0"/>
              <w:rPr>
                <w:sz w:val="24"/>
                <w:szCs w:val="24"/>
              </w:rPr>
            </w:pPr>
            <w:r>
              <w:rPr>
                <w:sz w:val="24"/>
                <w:szCs w:val="24"/>
              </w:rPr>
              <w:t xml:space="preserve">86 </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0E1865" w:rsidRDefault="00B51FCD">
            <w:pPr>
              <w:pStyle w:val="normal0"/>
              <w:rPr>
                <w:sz w:val="24"/>
                <w:szCs w:val="24"/>
              </w:rPr>
            </w:pPr>
            <w:r>
              <w:rPr>
                <w:sz w:val="24"/>
                <w:szCs w:val="24"/>
              </w:rPr>
              <w:t xml:space="preserve">93 </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0E1865" w:rsidRDefault="00B51FCD">
            <w:pPr>
              <w:pStyle w:val="normal0"/>
              <w:rPr>
                <w:sz w:val="24"/>
                <w:szCs w:val="24"/>
              </w:rPr>
            </w:pPr>
            <w:r>
              <w:rPr>
                <w:sz w:val="24"/>
                <w:szCs w:val="24"/>
              </w:rPr>
              <w:t xml:space="preserve">99 </w:t>
            </w:r>
          </w:p>
        </w:tc>
        <w:tc>
          <w:tcPr>
            <w:tcW w:w="1560" w:type="dxa"/>
            <w:vMerge/>
            <w:tcBorders>
              <w:top w:val="single" w:sz="12" w:space="0" w:color="000000"/>
              <w:left w:val="single" w:sz="6" w:space="0" w:color="000000"/>
              <w:bottom w:val="single" w:sz="12" w:space="0" w:color="000000"/>
              <w:right w:val="single" w:sz="6" w:space="0" w:color="000000"/>
            </w:tcBorders>
            <w:shd w:val="clear" w:color="auto" w:fill="auto"/>
            <w:tcMar>
              <w:top w:w="100" w:type="dxa"/>
              <w:left w:w="100" w:type="dxa"/>
              <w:bottom w:w="100" w:type="dxa"/>
              <w:right w:w="100" w:type="dxa"/>
            </w:tcMar>
          </w:tcPr>
          <w:p w:rsidR="000E1865" w:rsidRDefault="000E1865">
            <w:pPr>
              <w:pStyle w:val="normal0"/>
              <w:rPr>
                <w:sz w:val="18"/>
                <w:szCs w:val="18"/>
              </w:rPr>
            </w:pPr>
          </w:p>
        </w:tc>
      </w:tr>
      <w:tr w:rsidR="000E1865">
        <w:trPr>
          <w:trHeight w:val="315"/>
        </w:trPr>
        <w:tc>
          <w:tcPr>
            <w:tcW w:w="1560" w:type="dxa"/>
            <w:vMerge/>
            <w:tcBorders>
              <w:top w:val="single" w:sz="12" w:space="0" w:color="000000"/>
              <w:left w:val="single" w:sz="6" w:space="0" w:color="000000"/>
              <w:bottom w:val="single" w:sz="12" w:space="0" w:color="000000"/>
              <w:right w:val="single" w:sz="6" w:space="0" w:color="000000"/>
            </w:tcBorders>
            <w:shd w:val="clear" w:color="auto" w:fill="auto"/>
            <w:tcMar>
              <w:top w:w="100" w:type="dxa"/>
              <w:left w:w="100" w:type="dxa"/>
              <w:bottom w:w="100" w:type="dxa"/>
              <w:right w:w="100" w:type="dxa"/>
            </w:tcMar>
          </w:tcPr>
          <w:p w:rsidR="000E1865" w:rsidRDefault="000E1865">
            <w:pPr>
              <w:pStyle w:val="normal0"/>
              <w:rPr>
                <w:sz w:val="18"/>
                <w:szCs w:val="18"/>
              </w:rPr>
            </w:pPr>
          </w:p>
        </w:tc>
        <w:tc>
          <w:tcPr>
            <w:tcW w:w="1560" w:type="dxa"/>
            <w:tcBorders>
              <w:top w:val="single" w:sz="6" w:space="0" w:color="000000"/>
              <w:left w:val="single" w:sz="6" w:space="0" w:color="000000"/>
              <w:bottom w:val="single" w:sz="12" w:space="0" w:color="000000"/>
              <w:right w:val="single" w:sz="6" w:space="0" w:color="000000"/>
            </w:tcBorders>
            <w:shd w:val="clear" w:color="auto" w:fill="auto"/>
            <w:tcMar>
              <w:top w:w="0" w:type="dxa"/>
              <w:left w:w="0" w:type="dxa"/>
              <w:bottom w:w="0" w:type="dxa"/>
              <w:right w:w="0" w:type="dxa"/>
            </w:tcMar>
          </w:tcPr>
          <w:p w:rsidR="000E1865" w:rsidRDefault="00B51FCD">
            <w:pPr>
              <w:pStyle w:val="normal0"/>
              <w:rPr>
                <w:sz w:val="24"/>
                <w:szCs w:val="24"/>
              </w:rPr>
            </w:pPr>
            <w:r>
              <w:rPr>
                <w:sz w:val="24"/>
                <w:szCs w:val="24"/>
              </w:rPr>
              <w:t xml:space="preserve">6p </w:t>
            </w:r>
          </w:p>
        </w:tc>
        <w:tc>
          <w:tcPr>
            <w:tcW w:w="1560" w:type="dxa"/>
            <w:tcBorders>
              <w:top w:val="single" w:sz="6" w:space="0" w:color="000000"/>
              <w:left w:val="single" w:sz="6" w:space="0" w:color="000000"/>
              <w:bottom w:val="single" w:sz="12" w:space="0" w:color="000000"/>
              <w:right w:val="single" w:sz="6" w:space="0" w:color="000000"/>
            </w:tcBorders>
            <w:shd w:val="clear" w:color="auto" w:fill="auto"/>
            <w:tcMar>
              <w:top w:w="0" w:type="dxa"/>
              <w:left w:w="0" w:type="dxa"/>
              <w:bottom w:w="0" w:type="dxa"/>
              <w:right w:w="0" w:type="dxa"/>
            </w:tcMar>
          </w:tcPr>
          <w:p w:rsidR="000E1865" w:rsidRDefault="00B51FCD">
            <w:pPr>
              <w:pStyle w:val="normal0"/>
              <w:rPr>
                <w:sz w:val="24"/>
                <w:szCs w:val="24"/>
              </w:rPr>
            </w:pPr>
            <w:r>
              <w:rPr>
                <w:sz w:val="24"/>
                <w:szCs w:val="24"/>
              </w:rPr>
              <w:t xml:space="preserve">95 </w:t>
            </w:r>
          </w:p>
        </w:tc>
        <w:tc>
          <w:tcPr>
            <w:tcW w:w="1560" w:type="dxa"/>
            <w:tcBorders>
              <w:top w:val="single" w:sz="6" w:space="0" w:color="000000"/>
              <w:left w:val="single" w:sz="6" w:space="0" w:color="000000"/>
              <w:bottom w:val="single" w:sz="12" w:space="0" w:color="000000"/>
              <w:right w:val="single" w:sz="6" w:space="0" w:color="000000"/>
            </w:tcBorders>
            <w:shd w:val="clear" w:color="auto" w:fill="auto"/>
            <w:tcMar>
              <w:top w:w="0" w:type="dxa"/>
              <w:left w:w="0" w:type="dxa"/>
              <w:bottom w:w="0" w:type="dxa"/>
              <w:right w:w="0" w:type="dxa"/>
            </w:tcMar>
          </w:tcPr>
          <w:p w:rsidR="000E1865" w:rsidRDefault="00B51FCD">
            <w:pPr>
              <w:pStyle w:val="normal0"/>
              <w:rPr>
                <w:sz w:val="24"/>
                <w:szCs w:val="24"/>
              </w:rPr>
            </w:pPr>
            <w:r>
              <w:rPr>
                <w:sz w:val="24"/>
                <w:szCs w:val="24"/>
              </w:rPr>
              <w:t xml:space="preserve">102 </w:t>
            </w:r>
          </w:p>
        </w:tc>
        <w:tc>
          <w:tcPr>
            <w:tcW w:w="1560" w:type="dxa"/>
            <w:tcBorders>
              <w:top w:val="single" w:sz="6" w:space="0" w:color="000000"/>
              <w:left w:val="single" w:sz="6" w:space="0" w:color="000000"/>
              <w:bottom w:val="single" w:sz="12" w:space="0" w:color="000000"/>
              <w:right w:val="single" w:sz="6" w:space="0" w:color="000000"/>
            </w:tcBorders>
            <w:shd w:val="clear" w:color="auto" w:fill="auto"/>
            <w:tcMar>
              <w:top w:w="0" w:type="dxa"/>
              <w:left w:w="0" w:type="dxa"/>
              <w:bottom w:w="0" w:type="dxa"/>
              <w:right w:w="0" w:type="dxa"/>
            </w:tcMar>
          </w:tcPr>
          <w:p w:rsidR="000E1865" w:rsidRDefault="00B51FCD">
            <w:pPr>
              <w:pStyle w:val="normal0"/>
              <w:rPr>
                <w:sz w:val="24"/>
                <w:szCs w:val="24"/>
              </w:rPr>
            </w:pPr>
            <w:r>
              <w:rPr>
                <w:sz w:val="24"/>
                <w:szCs w:val="24"/>
              </w:rPr>
              <w:t xml:space="preserve">108 </w:t>
            </w:r>
          </w:p>
        </w:tc>
        <w:tc>
          <w:tcPr>
            <w:tcW w:w="1560" w:type="dxa"/>
            <w:vMerge/>
            <w:tcBorders>
              <w:top w:val="single" w:sz="12" w:space="0" w:color="000000"/>
              <w:left w:val="single" w:sz="6" w:space="0" w:color="000000"/>
              <w:bottom w:val="single" w:sz="12" w:space="0" w:color="000000"/>
              <w:right w:val="single" w:sz="6" w:space="0" w:color="000000"/>
            </w:tcBorders>
            <w:shd w:val="clear" w:color="auto" w:fill="auto"/>
            <w:tcMar>
              <w:top w:w="100" w:type="dxa"/>
              <w:left w:w="100" w:type="dxa"/>
              <w:bottom w:w="100" w:type="dxa"/>
              <w:right w:w="100" w:type="dxa"/>
            </w:tcMar>
          </w:tcPr>
          <w:p w:rsidR="000E1865" w:rsidRDefault="000E1865">
            <w:pPr>
              <w:pStyle w:val="normal0"/>
              <w:rPr>
                <w:sz w:val="18"/>
                <w:szCs w:val="18"/>
              </w:rPr>
            </w:pPr>
          </w:p>
        </w:tc>
      </w:tr>
      <w:tr w:rsidR="000E1865">
        <w:trPr>
          <w:trHeight w:val="315"/>
        </w:trPr>
        <w:tc>
          <w:tcPr>
            <w:tcW w:w="1560" w:type="dxa"/>
            <w:vMerge w:val="restart"/>
            <w:tcBorders>
              <w:top w:val="single" w:sz="12" w:space="0" w:color="000000"/>
              <w:left w:val="single" w:sz="6" w:space="0" w:color="000000"/>
              <w:bottom w:val="single" w:sz="12" w:space="0" w:color="000000"/>
              <w:right w:val="single" w:sz="6" w:space="0" w:color="000000"/>
            </w:tcBorders>
            <w:shd w:val="clear" w:color="auto" w:fill="auto"/>
            <w:tcMar>
              <w:top w:w="0" w:type="dxa"/>
              <w:left w:w="0" w:type="dxa"/>
              <w:bottom w:w="0" w:type="dxa"/>
              <w:right w:w="0" w:type="dxa"/>
            </w:tcMar>
          </w:tcPr>
          <w:p w:rsidR="000E1865" w:rsidRDefault="00B51FCD">
            <w:pPr>
              <w:pStyle w:val="normal0"/>
              <w:rPr>
                <w:sz w:val="24"/>
                <w:szCs w:val="24"/>
              </w:rPr>
            </w:pPr>
            <w:r>
              <w:rPr>
                <w:sz w:val="24"/>
                <w:szCs w:val="24"/>
              </w:rPr>
              <w:t xml:space="preserve">4b </w:t>
            </w:r>
          </w:p>
        </w:tc>
        <w:tc>
          <w:tcPr>
            <w:tcW w:w="1560" w:type="dxa"/>
            <w:tcBorders>
              <w:top w:val="single" w:sz="12"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0E1865" w:rsidRDefault="00B51FCD">
            <w:pPr>
              <w:pStyle w:val="normal0"/>
              <w:rPr>
                <w:sz w:val="24"/>
                <w:szCs w:val="24"/>
              </w:rPr>
            </w:pPr>
            <w:r>
              <w:rPr>
                <w:sz w:val="24"/>
                <w:szCs w:val="24"/>
              </w:rPr>
              <w:t xml:space="preserve">5p </w:t>
            </w:r>
          </w:p>
        </w:tc>
        <w:tc>
          <w:tcPr>
            <w:tcW w:w="1560" w:type="dxa"/>
            <w:tcBorders>
              <w:top w:val="single" w:sz="12"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0E1865" w:rsidRDefault="00B51FCD">
            <w:pPr>
              <w:pStyle w:val="normal0"/>
              <w:rPr>
                <w:sz w:val="24"/>
                <w:szCs w:val="24"/>
              </w:rPr>
            </w:pPr>
            <w:r>
              <w:rPr>
                <w:sz w:val="24"/>
                <w:szCs w:val="24"/>
              </w:rPr>
              <w:t xml:space="preserve">90 </w:t>
            </w:r>
          </w:p>
        </w:tc>
        <w:tc>
          <w:tcPr>
            <w:tcW w:w="1560" w:type="dxa"/>
            <w:tcBorders>
              <w:top w:val="single" w:sz="12"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0E1865" w:rsidRDefault="00B51FCD">
            <w:pPr>
              <w:pStyle w:val="normal0"/>
              <w:rPr>
                <w:sz w:val="24"/>
                <w:szCs w:val="24"/>
              </w:rPr>
            </w:pPr>
            <w:r>
              <w:rPr>
                <w:sz w:val="24"/>
                <w:szCs w:val="24"/>
              </w:rPr>
              <w:t xml:space="preserve">97 </w:t>
            </w:r>
          </w:p>
        </w:tc>
        <w:tc>
          <w:tcPr>
            <w:tcW w:w="1560" w:type="dxa"/>
            <w:tcBorders>
              <w:top w:val="single" w:sz="12"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0E1865" w:rsidRDefault="00B51FCD">
            <w:pPr>
              <w:pStyle w:val="normal0"/>
              <w:rPr>
                <w:sz w:val="24"/>
                <w:szCs w:val="24"/>
              </w:rPr>
            </w:pPr>
            <w:r>
              <w:rPr>
                <w:sz w:val="24"/>
                <w:szCs w:val="24"/>
              </w:rPr>
              <w:t xml:space="preserve">103 </w:t>
            </w:r>
          </w:p>
        </w:tc>
        <w:tc>
          <w:tcPr>
            <w:tcW w:w="1560" w:type="dxa"/>
            <w:vMerge w:val="restart"/>
            <w:tcBorders>
              <w:top w:val="single" w:sz="12" w:space="0" w:color="000000"/>
              <w:left w:val="single" w:sz="6" w:space="0" w:color="000000"/>
              <w:bottom w:val="single" w:sz="12" w:space="0" w:color="000000"/>
              <w:right w:val="single" w:sz="6" w:space="0" w:color="000000"/>
            </w:tcBorders>
            <w:shd w:val="clear" w:color="auto" w:fill="auto"/>
            <w:tcMar>
              <w:top w:w="0" w:type="dxa"/>
              <w:left w:w="0" w:type="dxa"/>
              <w:bottom w:w="0" w:type="dxa"/>
              <w:right w:w="0" w:type="dxa"/>
            </w:tcMar>
          </w:tcPr>
          <w:p w:rsidR="000E1865" w:rsidRDefault="00B51FCD">
            <w:pPr>
              <w:pStyle w:val="normal0"/>
              <w:rPr>
                <w:sz w:val="24"/>
                <w:szCs w:val="24"/>
              </w:rPr>
            </w:pPr>
            <w:r>
              <w:rPr>
                <w:sz w:val="24"/>
                <w:szCs w:val="24"/>
              </w:rPr>
              <w:t xml:space="preserve">3.0 </w:t>
            </w:r>
          </w:p>
        </w:tc>
      </w:tr>
      <w:tr w:rsidR="000E1865">
        <w:trPr>
          <w:trHeight w:val="315"/>
        </w:trPr>
        <w:tc>
          <w:tcPr>
            <w:tcW w:w="1560" w:type="dxa"/>
            <w:vMerge/>
            <w:tcBorders>
              <w:top w:val="single" w:sz="12" w:space="0" w:color="000000"/>
              <w:left w:val="single" w:sz="6" w:space="0" w:color="000000"/>
              <w:bottom w:val="single" w:sz="12" w:space="0" w:color="000000"/>
              <w:right w:val="single" w:sz="6" w:space="0" w:color="000000"/>
            </w:tcBorders>
            <w:shd w:val="clear" w:color="auto" w:fill="auto"/>
            <w:tcMar>
              <w:top w:w="100" w:type="dxa"/>
              <w:left w:w="100" w:type="dxa"/>
              <w:bottom w:w="100" w:type="dxa"/>
              <w:right w:w="100" w:type="dxa"/>
            </w:tcMar>
          </w:tcPr>
          <w:p w:rsidR="000E1865" w:rsidRDefault="000E1865">
            <w:pPr>
              <w:pStyle w:val="normal0"/>
              <w:rPr>
                <w:sz w:val="18"/>
                <w:szCs w:val="18"/>
              </w:rPr>
            </w:pP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0E1865" w:rsidRDefault="00B51FCD">
            <w:pPr>
              <w:pStyle w:val="normal0"/>
              <w:rPr>
                <w:sz w:val="24"/>
                <w:szCs w:val="24"/>
              </w:rPr>
            </w:pPr>
            <w:r>
              <w:rPr>
                <w:sz w:val="24"/>
                <w:szCs w:val="24"/>
              </w:rPr>
              <w:t xml:space="preserve">6p </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0E1865" w:rsidRDefault="00B51FCD">
            <w:pPr>
              <w:pStyle w:val="normal0"/>
              <w:rPr>
                <w:sz w:val="24"/>
                <w:szCs w:val="24"/>
              </w:rPr>
            </w:pPr>
            <w:r>
              <w:rPr>
                <w:sz w:val="24"/>
                <w:szCs w:val="24"/>
              </w:rPr>
              <w:t xml:space="preserve">99 </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0E1865" w:rsidRDefault="00B51FCD">
            <w:pPr>
              <w:pStyle w:val="normal0"/>
              <w:rPr>
                <w:sz w:val="24"/>
                <w:szCs w:val="24"/>
              </w:rPr>
            </w:pPr>
            <w:r>
              <w:rPr>
                <w:sz w:val="24"/>
                <w:szCs w:val="24"/>
              </w:rPr>
              <w:t xml:space="preserve">106 </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0E1865" w:rsidRDefault="00B51FCD">
            <w:pPr>
              <w:pStyle w:val="normal0"/>
              <w:rPr>
                <w:sz w:val="24"/>
                <w:szCs w:val="24"/>
              </w:rPr>
            </w:pPr>
            <w:r>
              <w:rPr>
                <w:sz w:val="24"/>
                <w:szCs w:val="24"/>
              </w:rPr>
              <w:t xml:space="preserve">112 </w:t>
            </w:r>
          </w:p>
        </w:tc>
        <w:tc>
          <w:tcPr>
            <w:tcW w:w="1560" w:type="dxa"/>
            <w:vMerge/>
            <w:tcBorders>
              <w:top w:val="single" w:sz="12" w:space="0" w:color="000000"/>
              <w:left w:val="single" w:sz="6" w:space="0" w:color="000000"/>
              <w:bottom w:val="single" w:sz="12" w:space="0" w:color="000000"/>
              <w:right w:val="single" w:sz="6" w:space="0" w:color="000000"/>
            </w:tcBorders>
            <w:shd w:val="clear" w:color="auto" w:fill="auto"/>
            <w:tcMar>
              <w:top w:w="100" w:type="dxa"/>
              <w:left w:w="100" w:type="dxa"/>
              <w:bottom w:w="100" w:type="dxa"/>
              <w:right w:w="100" w:type="dxa"/>
            </w:tcMar>
          </w:tcPr>
          <w:p w:rsidR="000E1865" w:rsidRDefault="000E1865">
            <w:pPr>
              <w:pStyle w:val="normal0"/>
              <w:rPr>
                <w:sz w:val="18"/>
                <w:szCs w:val="18"/>
              </w:rPr>
            </w:pPr>
          </w:p>
        </w:tc>
      </w:tr>
      <w:tr w:rsidR="000E1865">
        <w:trPr>
          <w:trHeight w:val="315"/>
        </w:trPr>
        <w:tc>
          <w:tcPr>
            <w:tcW w:w="1560" w:type="dxa"/>
            <w:vMerge/>
            <w:tcBorders>
              <w:top w:val="single" w:sz="12" w:space="0" w:color="000000"/>
              <w:left w:val="single" w:sz="6" w:space="0" w:color="000000"/>
              <w:bottom w:val="single" w:sz="12" w:space="0" w:color="000000"/>
              <w:right w:val="single" w:sz="6" w:space="0" w:color="000000"/>
            </w:tcBorders>
            <w:shd w:val="clear" w:color="auto" w:fill="auto"/>
            <w:tcMar>
              <w:top w:w="100" w:type="dxa"/>
              <w:left w:w="100" w:type="dxa"/>
              <w:bottom w:w="100" w:type="dxa"/>
              <w:right w:w="100" w:type="dxa"/>
            </w:tcMar>
          </w:tcPr>
          <w:p w:rsidR="000E1865" w:rsidRDefault="000E1865">
            <w:pPr>
              <w:pStyle w:val="normal0"/>
              <w:rPr>
                <w:sz w:val="18"/>
                <w:szCs w:val="18"/>
              </w:rPr>
            </w:pP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0E1865" w:rsidRDefault="00B51FCD">
            <w:pPr>
              <w:pStyle w:val="normal0"/>
              <w:rPr>
                <w:sz w:val="24"/>
                <w:szCs w:val="24"/>
              </w:rPr>
            </w:pPr>
            <w:r>
              <w:rPr>
                <w:sz w:val="24"/>
                <w:szCs w:val="24"/>
              </w:rPr>
              <w:t xml:space="preserve">7p </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0E1865" w:rsidRDefault="00B51FCD">
            <w:pPr>
              <w:pStyle w:val="normal0"/>
              <w:rPr>
                <w:sz w:val="24"/>
                <w:szCs w:val="24"/>
              </w:rPr>
            </w:pPr>
            <w:r>
              <w:rPr>
                <w:sz w:val="24"/>
                <w:szCs w:val="24"/>
              </w:rPr>
              <w:t xml:space="preserve">108 </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0E1865" w:rsidRDefault="00B51FCD">
            <w:pPr>
              <w:pStyle w:val="normal0"/>
              <w:rPr>
                <w:sz w:val="24"/>
                <w:szCs w:val="24"/>
              </w:rPr>
            </w:pPr>
            <w:r>
              <w:rPr>
                <w:sz w:val="24"/>
                <w:szCs w:val="24"/>
              </w:rPr>
              <w:t xml:space="preserve">115 </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0E1865" w:rsidRDefault="00B51FCD">
            <w:pPr>
              <w:pStyle w:val="normal0"/>
              <w:rPr>
                <w:sz w:val="24"/>
                <w:szCs w:val="24"/>
              </w:rPr>
            </w:pPr>
            <w:r>
              <w:rPr>
                <w:sz w:val="24"/>
                <w:szCs w:val="24"/>
              </w:rPr>
              <w:t xml:space="preserve">121 </w:t>
            </w:r>
          </w:p>
        </w:tc>
        <w:tc>
          <w:tcPr>
            <w:tcW w:w="1560" w:type="dxa"/>
            <w:vMerge/>
            <w:tcBorders>
              <w:top w:val="single" w:sz="12" w:space="0" w:color="000000"/>
              <w:left w:val="single" w:sz="6" w:space="0" w:color="000000"/>
              <w:bottom w:val="single" w:sz="12" w:space="0" w:color="000000"/>
              <w:right w:val="single" w:sz="6" w:space="0" w:color="000000"/>
            </w:tcBorders>
            <w:shd w:val="clear" w:color="auto" w:fill="auto"/>
            <w:tcMar>
              <w:top w:w="100" w:type="dxa"/>
              <w:left w:w="100" w:type="dxa"/>
              <w:bottom w:w="100" w:type="dxa"/>
              <w:right w:w="100" w:type="dxa"/>
            </w:tcMar>
          </w:tcPr>
          <w:p w:rsidR="000E1865" w:rsidRDefault="000E1865">
            <w:pPr>
              <w:pStyle w:val="normal0"/>
              <w:rPr>
                <w:sz w:val="18"/>
                <w:szCs w:val="18"/>
              </w:rPr>
            </w:pPr>
          </w:p>
        </w:tc>
      </w:tr>
      <w:tr w:rsidR="000E1865">
        <w:trPr>
          <w:trHeight w:val="315"/>
        </w:trPr>
        <w:tc>
          <w:tcPr>
            <w:tcW w:w="1560" w:type="dxa"/>
            <w:vMerge/>
            <w:tcBorders>
              <w:top w:val="single" w:sz="12" w:space="0" w:color="000000"/>
              <w:left w:val="single" w:sz="6" w:space="0" w:color="000000"/>
              <w:bottom w:val="single" w:sz="12" w:space="0" w:color="000000"/>
              <w:right w:val="single" w:sz="6" w:space="0" w:color="000000"/>
            </w:tcBorders>
            <w:shd w:val="clear" w:color="auto" w:fill="auto"/>
            <w:tcMar>
              <w:top w:w="100" w:type="dxa"/>
              <w:left w:w="100" w:type="dxa"/>
              <w:bottom w:w="100" w:type="dxa"/>
              <w:right w:w="100" w:type="dxa"/>
            </w:tcMar>
          </w:tcPr>
          <w:p w:rsidR="000E1865" w:rsidRDefault="000E1865">
            <w:pPr>
              <w:pStyle w:val="normal0"/>
              <w:rPr>
                <w:sz w:val="18"/>
                <w:szCs w:val="18"/>
              </w:rPr>
            </w:pPr>
          </w:p>
        </w:tc>
        <w:tc>
          <w:tcPr>
            <w:tcW w:w="1560" w:type="dxa"/>
            <w:tcBorders>
              <w:top w:val="single" w:sz="6" w:space="0" w:color="000000"/>
              <w:left w:val="single" w:sz="6" w:space="0" w:color="000000"/>
              <w:bottom w:val="single" w:sz="12" w:space="0" w:color="000000"/>
              <w:right w:val="single" w:sz="6" w:space="0" w:color="000000"/>
            </w:tcBorders>
            <w:shd w:val="clear" w:color="auto" w:fill="auto"/>
            <w:tcMar>
              <w:top w:w="0" w:type="dxa"/>
              <w:left w:w="0" w:type="dxa"/>
              <w:bottom w:w="0" w:type="dxa"/>
              <w:right w:w="0" w:type="dxa"/>
            </w:tcMar>
          </w:tcPr>
          <w:p w:rsidR="000E1865" w:rsidRDefault="00B51FCD">
            <w:pPr>
              <w:pStyle w:val="normal0"/>
              <w:rPr>
                <w:sz w:val="24"/>
                <w:szCs w:val="24"/>
              </w:rPr>
            </w:pPr>
            <w:r>
              <w:rPr>
                <w:sz w:val="24"/>
                <w:szCs w:val="24"/>
              </w:rPr>
              <w:t xml:space="preserve">8p </w:t>
            </w:r>
          </w:p>
        </w:tc>
        <w:tc>
          <w:tcPr>
            <w:tcW w:w="1560" w:type="dxa"/>
            <w:tcBorders>
              <w:top w:val="single" w:sz="6" w:space="0" w:color="000000"/>
              <w:left w:val="single" w:sz="6" w:space="0" w:color="000000"/>
              <w:bottom w:val="single" w:sz="12" w:space="0" w:color="000000"/>
              <w:right w:val="single" w:sz="6" w:space="0" w:color="000000"/>
            </w:tcBorders>
            <w:shd w:val="clear" w:color="auto" w:fill="auto"/>
            <w:tcMar>
              <w:top w:w="0" w:type="dxa"/>
              <w:left w:w="0" w:type="dxa"/>
              <w:bottom w:w="0" w:type="dxa"/>
              <w:right w:w="0" w:type="dxa"/>
            </w:tcMar>
          </w:tcPr>
          <w:p w:rsidR="000E1865" w:rsidRDefault="00B51FCD">
            <w:pPr>
              <w:pStyle w:val="normal0"/>
              <w:rPr>
                <w:sz w:val="24"/>
                <w:szCs w:val="24"/>
              </w:rPr>
            </w:pPr>
            <w:r>
              <w:rPr>
                <w:sz w:val="24"/>
                <w:szCs w:val="24"/>
              </w:rPr>
              <w:t xml:space="preserve">117 </w:t>
            </w:r>
          </w:p>
        </w:tc>
        <w:tc>
          <w:tcPr>
            <w:tcW w:w="1560" w:type="dxa"/>
            <w:tcBorders>
              <w:top w:val="single" w:sz="6" w:space="0" w:color="000000"/>
              <w:left w:val="single" w:sz="6" w:space="0" w:color="000000"/>
              <w:bottom w:val="single" w:sz="12" w:space="0" w:color="000000"/>
              <w:right w:val="single" w:sz="6" w:space="0" w:color="000000"/>
            </w:tcBorders>
            <w:shd w:val="clear" w:color="auto" w:fill="auto"/>
            <w:tcMar>
              <w:top w:w="0" w:type="dxa"/>
              <w:left w:w="0" w:type="dxa"/>
              <w:bottom w:w="0" w:type="dxa"/>
              <w:right w:w="0" w:type="dxa"/>
            </w:tcMar>
          </w:tcPr>
          <w:p w:rsidR="000E1865" w:rsidRDefault="00B51FCD">
            <w:pPr>
              <w:pStyle w:val="normal0"/>
              <w:rPr>
                <w:sz w:val="24"/>
                <w:szCs w:val="24"/>
              </w:rPr>
            </w:pPr>
            <w:r>
              <w:rPr>
                <w:sz w:val="24"/>
                <w:szCs w:val="24"/>
              </w:rPr>
              <w:t xml:space="preserve">124 </w:t>
            </w:r>
          </w:p>
        </w:tc>
        <w:tc>
          <w:tcPr>
            <w:tcW w:w="1560" w:type="dxa"/>
            <w:tcBorders>
              <w:top w:val="single" w:sz="6" w:space="0" w:color="000000"/>
              <w:left w:val="single" w:sz="6" w:space="0" w:color="000000"/>
              <w:bottom w:val="single" w:sz="12" w:space="0" w:color="000000"/>
              <w:right w:val="single" w:sz="6" w:space="0" w:color="000000"/>
            </w:tcBorders>
            <w:shd w:val="clear" w:color="auto" w:fill="auto"/>
            <w:tcMar>
              <w:top w:w="0" w:type="dxa"/>
              <w:left w:w="0" w:type="dxa"/>
              <w:bottom w:w="0" w:type="dxa"/>
              <w:right w:w="0" w:type="dxa"/>
            </w:tcMar>
          </w:tcPr>
          <w:p w:rsidR="000E1865" w:rsidRDefault="00B51FCD">
            <w:pPr>
              <w:pStyle w:val="normal0"/>
              <w:rPr>
                <w:sz w:val="24"/>
                <w:szCs w:val="24"/>
              </w:rPr>
            </w:pPr>
            <w:r>
              <w:rPr>
                <w:sz w:val="24"/>
                <w:szCs w:val="24"/>
              </w:rPr>
              <w:t xml:space="preserve">130 </w:t>
            </w:r>
          </w:p>
        </w:tc>
        <w:tc>
          <w:tcPr>
            <w:tcW w:w="1560" w:type="dxa"/>
            <w:vMerge/>
            <w:tcBorders>
              <w:top w:val="single" w:sz="12" w:space="0" w:color="000000"/>
              <w:left w:val="single" w:sz="6" w:space="0" w:color="000000"/>
              <w:bottom w:val="single" w:sz="12" w:space="0" w:color="000000"/>
              <w:right w:val="single" w:sz="6" w:space="0" w:color="000000"/>
            </w:tcBorders>
            <w:shd w:val="clear" w:color="auto" w:fill="auto"/>
            <w:tcMar>
              <w:top w:w="100" w:type="dxa"/>
              <w:left w:w="100" w:type="dxa"/>
              <w:bottom w:w="100" w:type="dxa"/>
              <w:right w:w="100" w:type="dxa"/>
            </w:tcMar>
          </w:tcPr>
          <w:p w:rsidR="000E1865" w:rsidRDefault="000E1865">
            <w:pPr>
              <w:pStyle w:val="normal0"/>
              <w:rPr>
                <w:sz w:val="18"/>
                <w:szCs w:val="18"/>
              </w:rPr>
            </w:pPr>
          </w:p>
        </w:tc>
      </w:tr>
      <w:tr w:rsidR="000E1865">
        <w:trPr>
          <w:trHeight w:val="315"/>
        </w:trPr>
        <w:tc>
          <w:tcPr>
            <w:tcW w:w="1560" w:type="dxa"/>
            <w:vMerge w:val="restart"/>
            <w:tcBorders>
              <w:top w:val="single" w:sz="12" w:space="0" w:color="000000"/>
              <w:left w:val="single" w:sz="6" w:space="0" w:color="000000"/>
              <w:bottom w:val="single" w:sz="12" w:space="0" w:color="000000"/>
              <w:right w:val="single" w:sz="6" w:space="0" w:color="000000"/>
            </w:tcBorders>
            <w:shd w:val="clear" w:color="auto" w:fill="auto"/>
            <w:tcMar>
              <w:top w:w="0" w:type="dxa"/>
              <w:left w:w="0" w:type="dxa"/>
              <w:bottom w:w="0" w:type="dxa"/>
              <w:right w:w="0" w:type="dxa"/>
            </w:tcMar>
          </w:tcPr>
          <w:p w:rsidR="000E1865" w:rsidRDefault="00B51FCD">
            <w:pPr>
              <w:pStyle w:val="normal0"/>
              <w:rPr>
                <w:sz w:val="24"/>
                <w:szCs w:val="24"/>
              </w:rPr>
            </w:pPr>
            <w:r>
              <w:rPr>
                <w:sz w:val="24"/>
                <w:szCs w:val="24"/>
              </w:rPr>
              <w:t xml:space="preserve">5b </w:t>
            </w:r>
          </w:p>
        </w:tc>
        <w:tc>
          <w:tcPr>
            <w:tcW w:w="1560" w:type="dxa"/>
            <w:tcBorders>
              <w:top w:val="single" w:sz="12"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0E1865" w:rsidRDefault="00B51FCD">
            <w:pPr>
              <w:pStyle w:val="normal0"/>
              <w:rPr>
                <w:sz w:val="24"/>
                <w:szCs w:val="24"/>
              </w:rPr>
            </w:pPr>
            <w:r>
              <w:rPr>
                <w:sz w:val="24"/>
                <w:szCs w:val="24"/>
              </w:rPr>
              <w:t xml:space="preserve">6p </w:t>
            </w:r>
          </w:p>
        </w:tc>
        <w:tc>
          <w:tcPr>
            <w:tcW w:w="1560" w:type="dxa"/>
            <w:tcBorders>
              <w:top w:val="single" w:sz="12"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0E1865" w:rsidRDefault="00B51FCD">
            <w:pPr>
              <w:pStyle w:val="normal0"/>
              <w:rPr>
                <w:sz w:val="24"/>
                <w:szCs w:val="24"/>
              </w:rPr>
            </w:pPr>
            <w:r>
              <w:rPr>
                <w:sz w:val="24"/>
                <w:szCs w:val="24"/>
              </w:rPr>
              <w:t xml:space="preserve">103 </w:t>
            </w:r>
          </w:p>
        </w:tc>
        <w:tc>
          <w:tcPr>
            <w:tcW w:w="1560" w:type="dxa"/>
            <w:tcBorders>
              <w:top w:val="single" w:sz="12"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0E1865" w:rsidRDefault="00B51FCD">
            <w:pPr>
              <w:pStyle w:val="normal0"/>
              <w:rPr>
                <w:sz w:val="24"/>
                <w:szCs w:val="24"/>
              </w:rPr>
            </w:pPr>
            <w:r>
              <w:rPr>
                <w:sz w:val="24"/>
                <w:szCs w:val="24"/>
              </w:rPr>
              <w:t xml:space="preserve">110 </w:t>
            </w:r>
          </w:p>
        </w:tc>
        <w:tc>
          <w:tcPr>
            <w:tcW w:w="1560" w:type="dxa"/>
            <w:tcBorders>
              <w:top w:val="single" w:sz="12"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0E1865" w:rsidRDefault="00B51FCD">
            <w:pPr>
              <w:pStyle w:val="normal0"/>
              <w:rPr>
                <w:sz w:val="24"/>
                <w:szCs w:val="24"/>
              </w:rPr>
            </w:pPr>
            <w:r>
              <w:rPr>
                <w:sz w:val="24"/>
                <w:szCs w:val="24"/>
              </w:rPr>
              <w:t xml:space="preserve">116 </w:t>
            </w:r>
          </w:p>
        </w:tc>
        <w:tc>
          <w:tcPr>
            <w:tcW w:w="1560" w:type="dxa"/>
            <w:vMerge w:val="restart"/>
            <w:tcBorders>
              <w:top w:val="single" w:sz="12" w:space="0" w:color="000000"/>
              <w:left w:val="single" w:sz="6" w:space="0" w:color="000000"/>
              <w:bottom w:val="single" w:sz="12" w:space="0" w:color="000000"/>
              <w:right w:val="single" w:sz="6" w:space="0" w:color="000000"/>
            </w:tcBorders>
            <w:shd w:val="clear" w:color="auto" w:fill="auto"/>
            <w:tcMar>
              <w:top w:w="0" w:type="dxa"/>
              <w:left w:w="0" w:type="dxa"/>
              <w:bottom w:w="0" w:type="dxa"/>
              <w:right w:w="0" w:type="dxa"/>
            </w:tcMar>
          </w:tcPr>
          <w:p w:rsidR="000E1865" w:rsidRDefault="00B51FCD">
            <w:pPr>
              <w:pStyle w:val="normal0"/>
              <w:rPr>
                <w:sz w:val="24"/>
                <w:szCs w:val="24"/>
              </w:rPr>
            </w:pPr>
            <w:r>
              <w:rPr>
                <w:sz w:val="24"/>
                <w:szCs w:val="24"/>
              </w:rPr>
              <w:t xml:space="preserve">3.5 </w:t>
            </w:r>
          </w:p>
        </w:tc>
      </w:tr>
      <w:tr w:rsidR="000E1865">
        <w:trPr>
          <w:trHeight w:val="315"/>
        </w:trPr>
        <w:tc>
          <w:tcPr>
            <w:tcW w:w="1560" w:type="dxa"/>
            <w:vMerge/>
            <w:tcBorders>
              <w:top w:val="single" w:sz="12" w:space="0" w:color="000000"/>
              <w:left w:val="single" w:sz="6" w:space="0" w:color="000000"/>
              <w:bottom w:val="single" w:sz="12" w:space="0" w:color="000000"/>
              <w:right w:val="single" w:sz="6" w:space="0" w:color="000000"/>
            </w:tcBorders>
            <w:shd w:val="clear" w:color="auto" w:fill="auto"/>
            <w:tcMar>
              <w:top w:w="100" w:type="dxa"/>
              <w:left w:w="100" w:type="dxa"/>
              <w:bottom w:w="100" w:type="dxa"/>
              <w:right w:w="100" w:type="dxa"/>
            </w:tcMar>
          </w:tcPr>
          <w:p w:rsidR="000E1865" w:rsidRDefault="000E1865">
            <w:pPr>
              <w:pStyle w:val="normal0"/>
              <w:rPr>
                <w:sz w:val="18"/>
                <w:szCs w:val="18"/>
              </w:rPr>
            </w:pP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0E1865" w:rsidRDefault="00B51FCD">
            <w:pPr>
              <w:pStyle w:val="normal0"/>
              <w:rPr>
                <w:sz w:val="24"/>
                <w:szCs w:val="24"/>
              </w:rPr>
            </w:pPr>
            <w:r>
              <w:rPr>
                <w:sz w:val="24"/>
                <w:szCs w:val="24"/>
              </w:rPr>
              <w:t xml:space="preserve">7p </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0E1865" w:rsidRDefault="00B51FCD">
            <w:pPr>
              <w:pStyle w:val="normal0"/>
              <w:rPr>
                <w:sz w:val="24"/>
                <w:szCs w:val="24"/>
              </w:rPr>
            </w:pPr>
            <w:r>
              <w:rPr>
                <w:sz w:val="24"/>
                <w:szCs w:val="24"/>
              </w:rPr>
              <w:t xml:space="preserve">112 </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0E1865" w:rsidRDefault="00B51FCD">
            <w:pPr>
              <w:pStyle w:val="normal0"/>
              <w:rPr>
                <w:sz w:val="24"/>
                <w:szCs w:val="24"/>
              </w:rPr>
            </w:pPr>
            <w:r>
              <w:rPr>
                <w:sz w:val="24"/>
                <w:szCs w:val="24"/>
              </w:rPr>
              <w:t xml:space="preserve">119 </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0E1865" w:rsidRDefault="00B51FCD">
            <w:pPr>
              <w:pStyle w:val="normal0"/>
              <w:rPr>
                <w:sz w:val="24"/>
                <w:szCs w:val="24"/>
              </w:rPr>
            </w:pPr>
            <w:r>
              <w:rPr>
                <w:sz w:val="24"/>
                <w:szCs w:val="24"/>
              </w:rPr>
              <w:t xml:space="preserve">125 </w:t>
            </w:r>
          </w:p>
        </w:tc>
        <w:tc>
          <w:tcPr>
            <w:tcW w:w="1560" w:type="dxa"/>
            <w:vMerge/>
            <w:tcBorders>
              <w:top w:val="single" w:sz="12" w:space="0" w:color="000000"/>
              <w:left w:val="single" w:sz="6" w:space="0" w:color="000000"/>
              <w:bottom w:val="single" w:sz="12" w:space="0" w:color="000000"/>
              <w:right w:val="single" w:sz="6" w:space="0" w:color="000000"/>
            </w:tcBorders>
            <w:shd w:val="clear" w:color="auto" w:fill="auto"/>
            <w:tcMar>
              <w:top w:w="100" w:type="dxa"/>
              <w:left w:w="100" w:type="dxa"/>
              <w:bottom w:w="100" w:type="dxa"/>
              <w:right w:w="100" w:type="dxa"/>
            </w:tcMar>
          </w:tcPr>
          <w:p w:rsidR="000E1865" w:rsidRDefault="000E1865">
            <w:pPr>
              <w:pStyle w:val="normal0"/>
              <w:rPr>
                <w:sz w:val="18"/>
                <w:szCs w:val="18"/>
              </w:rPr>
            </w:pPr>
          </w:p>
        </w:tc>
      </w:tr>
      <w:tr w:rsidR="000E1865">
        <w:trPr>
          <w:trHeight w:val="315"/>
        </w:trPr>
        <w:tc>
          <w:tcPr>
            <w:tcW w:w="1560" w:type="dxa"/>
            <w:vMerge/>
            <w:tcBorders>
              <w:top w:val="single" w:sz="12" w:space="0" w:color="000000"/>
              <w:left w:val="single" w:sz="6" w:space="0" w:color="000000"/>
              <w:bottom w:val="single" w:sz="12" w:space="0" w:color="000000"/>
              <w:right w:val="single" w:sz="6" w:space="0" w:color="000000"/>
            </w:tcBorders>
            <w:shd w:val="clear" w:color="auto" w:fill="auto"/>
            <w:tcMar>
              <w:top w:w="100" w:type="dxa"/>
              <w:left w:w="100" w:type="dxa"/>
              <w:bottom w:w="100" w:type="dxa"/>
              <w:right w:w="100" w:type="dxa"/>
            </w:tcMar>
          </w:tcPr>
          <w:p w:rsidR="000E1865" w:rsidRDefault="000E1865">
            <w:pPr>
              <w:pStyle w:val="normal0"/>
              <w:rPr>
                <w:sz w:val="18"/>
                <w:szCs w:val="18"/>
              </w:rPr>
            </w:pPr>
          </w:p>
        </w:tc>
        <w:tc>
          <w:tcPr>
            <w:tcW w:w="1560" w:type="dxa"/>
            <w:tcBorders>
              <w:top w:val="single" w:sz="6" w:space="0" w:color="000000"/>
              <w:left w:val="single" w:sz="6" w:space="0" w:color="000000"/>
              <w:bottom w:val="single" w:sz="12" w:space="0" w:color="000000"/>
              <w:right w:val="single" w:sz="6" w:space="0" w:color="000000"/>
            </w:tcBorders>
            <w:shd w:val="clear" w:color="auto" w:fill="auto"/>
            <w:tcMar>
              <w:top w:w="0" w:type="dxa"/>
              <w:left w:w="0" w:type="dxa"/>
              <w:bottom w:w="0" w:type="dxa"/>
              <w:right w:w="0" w:type="dxa"/>
            </w:tcMar>
          </w:tcPr>
          <w:p w:rsidR="000E1865" w:rsidRDefault="00B51FCD">
            <w:pPr>
              <w:pStyle w:val="normal0"/>
              <w:rPr>
                <w:sz w:val="24"/>
                <w:szCs w:val="24"/>
              </w:rPr>
            </w:pPr>
            <w:r>
              <w:rPr>
                <w:sz w:val="24"/>
                <w:szCs w:val="24"/>
              </w:rPr>
              <w:t xml:space="preserve">8p </w:t>
            </w:r>
          </w:p>
        </w:tc>
        <w:tc>
          <w:tcPr>
            <w:tcW w:w="1560" w:type="dxa"/>
            <w:tcBorders>
              <w:top w:val="single" w:sz="6" w:space="0" w:color="000000"/>
              <w:left w:val="single" w:sz="6" w:space="0" w:color="000000"/>
              <w:bottom w:val="single" w:sz="12" w:space="0" w:color="000000"/>
              <w:right w:val="single" w:sz="6" w:space="0" w:color="000000"/>
            </w:tcBorders>
            <w:shd w:val="clear" w:color="auto" w:fill="auto"/>
            <w:tcMar>
              <w:top w:w="0" w:type="dxa"/>
              <w:left w:w="0" w:type="dxa"/>
              <w:bottom w:w="0" w:type="dxa"/>
              <w:right w:w="0" w:type="dxa"/>
            </w:tcMar>
          </w:tcPr>
          <w:p w:rsidR="000E1865" w:rsidRDefault="00B51FCD">
            <w:pPr>
              <w:pStyle w:val="normal0"/>
              <w:rPr>
                <w:sz w:val="24"/>
                <w:szCs w:val="24"/>
              </w:rPr>
            </w:pPr>
            <w:r>
              <w:rPr>
                <w:sz w:val="24"/>
                <w:szCs w:val="24"/>
              </w:rPr>
              <w:t xml:space="preserve">121 </w:t>
            </w:r>
          </w:p>
        </w:tc>
        <w:tc>
          <w:tcPr>
            <w:tcW w:w="1560" w:type="dxa"/>
            <w:tcBorders>
              <w:top w:val="single" w:sz="6" w:space="0" w:color="000000"/>
              <w:left w:val="single" w:sz="6" w:space="0" w:color="000000"/>
              <w:bottom w:val="single" w:sz="12" w:space="0" w:color="000000"/>
              <w:right w:val="single" w:sz="6" w:space="0" w:color="000000"/>
            </w:tcBorders>
            <w:shd w:val="clear" w:color="auto" w:fill="auto"/>
            <w:tcMar>
              <w:top w:w="0" w:type="dxa"/>
              <w:left w:w="0" w:type="dxa"/>
              <w:bottom w:w="0" w:type="dxa"/>
              <w:right w:w="0" w:type="dxa"/>
            </w:tcMar>
          </w:tcPr>
          <w:p w:rsidR="000E1865" w:rsidRDefault="00B51FCD">
            <w:pPr>
              <w:pStyle w:val="normal0"/>
              <w:rPr>
                <w:sz w:val="24"/>
                <w:szCs w:val="24"/>
              </w:rPr>
            </w:pPr>
            <w:r>
              <w:rPr>
                <w:sz w:val="24"/>
                <w:szCs w:val="24"/>
              </w:rPr>
              <w:t xml:space="preserve">128 </w:t>
            </w:r>
          </w:p>
        </w:tc>
        <w:tc>
          <w:tcPr>
            <w:tcW w:w="1560" w:type="dxa"/>
            <w:tcBorders>
              <w:top w:val="single" w:sz="6" w:space="0" w:color="000000"/>
              <w:left w:val="single" w:sz="6" w:space="0" w:color="000000"/>
              <w:bottom w:val="single" w:sz="12" w:space="0" w:color="000000"/>
              <w:right w:val="single" w:sz="6" w:space="0" w:color="000000"/>
            </w:tcBorders>
            <w:shd w:val="clear" w:color="auto" w:fill="auto"/>
            <w:tcMar>
              <w:top w:w="0" w:type="dxa"/>
              <w:left w:w="0" w:type="dxa"/>
              <w:bottom w:w="0" w:type="dxa"/>
              <w:right w:w="0" w:type="dxa"/>
            </w:tcMar>
          </w:tcPr>
          <w:p w:rsidR="000E1865" w:rsidRDefault="00B51FCD">
            <w:pPr>
              <w:pStyle w:val="normal0"/>
              <w:rPr>
                <w:sz w:val="24"/>
                <w:szCs w:val="24"/>
              </w:rPr>
            </w:pPr>
            <w:r>
              <w:rPr>
                <w:sz w:val="24"/>
                <w:szCs w:val="24"/>
              </w:rPr>
              <w:t xml:space="preserve">134 </w:t>
            </w:r>
          </w:p>
        </w:tc>
        <w:tc>
          <w:tcPr>
            <w:tcW w:w="1560" w:type="dxa"/>
            <w:vMerge/>
            <w:tcBorders>
              <w:top w:val="single" w:sz="12" w:space="0" w:color="000000"/>
              <w:left w:val="single" w:sz="6" w:space="0" w:color="000000"/>
              <w:bottom w:val="single" w:sz="12" w:space="0" w:color="000000"/>
              <w:right w:val="single" w:sz="6" w:space="0" w:color="000000"/>
            </w:tcBorders>
            <w:shd w:val="clear" w:color="auto" w:fill="auto"/>
            <w:tcMar>
              <w:top w:w="100" w:type="dxa"/>
              <w:left w:w="100" w:type="dxa"/>
              <w:bottom w:w="100" w:type="dxa"/>
              <w:right w:w="100" w:type="dxa"/>
            </w:tcMar>
          </w:tcPr>
          <w:p w:rsidR="000E1865" w:rsidRDefault="000E1865">
            <w:pPr>
              <w:pStyle w:val="normal0"/>
              <w:rPr>
                <w:sz w:val="18"/>
                <w:szCs w:val="18"/>
              </w:rPr>
            </w:pPr>
          </w:p>
        </w:tc>
      </w:tr>
      <w:tr w:rsidR="000E1865">
        <w:trPr>
          <w:trHeight w:val="315"/>
        </w:trPr>
        <w:tc>
          <w:tcPr>
            <w:tcW w:w="1560" w:type="dxa"/>
            <w:vMerge w:val="restart"/>
            <w:tcBorders>
              <w:top w:val="single" w:sz="12" w:space="0" w:color="000000"/>
              <w:left w:val="single" w:sz="6" w:space="0" w:color="000000"/>
              <w:bottom w:val="single" w:sz="12" w:space="0" w:color="000000"/>
              <w:right w:val="single" w:sz="6" w:space="0" w:color="000000"/>
            </w:tcBorders>
            <w:shd w:val="clear" w:color="auto" w:fill="auto"/>
            <w:tcMar>
              <w:top w:w="0" w:type="dxa"/>
              <w:left w:w="0" w:type="dxa"/>
              <w:bottom w:w="0" w:type="dxa"/>
              <w:right w:w="0" w:type="dxa"/>
            </w:tcMar>
          </w:tcPr>
          <w:p w:rsidR="000E1865" w:rsidRDefault="00B51FCD">
            <w:pPr>
              <w:pStyle w:val="normal0"/>
              <w:rPr>
                <w:sz w:val="24"/>
                <w:szCs w:val="24"/>
              </w:rPr>
            </w:pPr>
            <w:r>
              <w:rPr>
                <w:sz w:val="24"/>
                <w:szCs w:val="24"/>
              </w:rPr>
              <w:t xml:space="preserve">6b </w:t>
            </w:r>
          </w:p>
        </w:tc>
        <w:tc>
          <w:tcPr>
            <w:tcW w:w="1560" w:type="dxa"/>
            <w:tcBorders>
              <w:top w:val="single" w:sz="12"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0E1865" w:rsidRDefault="00B51FCD">
            <w:pPr>
              <w:pStyle w:val="normal0"/>
              <w:rPr>
                <w:sz w:val="24"/>
                <w:szCs w:val="24"/>
              </w:rPr>
            </w:pPr>
            <w:r>
              <w:rPr>
                <w:sz w:val="24"/>
                <w:szCs w:val="24"/>
              </w:rPr>
              <w:t xml:space="preserve">7p </w:t>
            </w:r>
          </w:p>
        </w:tc>
        <w:tc>
          <w:tcPr>
            <w:tcW w:w="1560" w:type="dxa"/>
            <w:tcBorders>
              <w:top w:val="single" w:sz="12"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0E1865" w:rsidRDefault="00B51FCD">
            <w:pPr>
              <w:pStyle w:val="normal0"/>
              <w:rPr>
                <w:sz w:val="24"/>
                <w:szCs w:val="24"/>
              </w:rPr>
            </w:pPr>
            <w:r>
              <w:rPr>
                <w:sz w:val="24"/>
                <w:szCs w:val="24"/>
              </w:rPr>
              <w:t xml:space="preserve">116 </w:t>
            </w:r>
          </w:p>
        </w:tc>
        <w:tc>
          <w:tcPr>
            <w:tcW w:w="1560" w:type="dxa"/>
            <w:tcBorders>
              <w:top w:val="single" w:sz="12"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0E1865" w:rsidRDefault="00B51FCD">
            <w:pPr>
              <w:pStyle w:val="normal0"/>
              <w:rPr>
                <w:sz w:val="24"/>
                <w:szCs w:val="24"/>
              </w:rPr>
            </w:pPr>
            <w:r>
              <w:rPr>
                <w:sz w:val="24"/>
                <w:szCs w:val="24"/>
              </w:rPr>
              <w:t xml:space="preserve">123 </w:t>
            </w:r>
          </w:p>
        </w:tc>
        <w:tc>
          <w:tcPr>
            <w:tcW w:w="1560" w:type="dxa"/>
            <w:tcBorders>
              <w:top w:val="single" w:sz="12" w:space="0" w:color="000000"/>
              <w:left w:val="single" w:sz="6" w:space="0" w:color="000000"/>
              <w:bottom w:val="single" w:sz="6" w:space="0" w:color="000000"/>
              <w:right w:val="single" w:sz="6" w:space="0" w:color="000000"/>
            </w:tcBorders>
            <w:shd w:val="clear" w:color="auto" w:fill="auto"/>
            <w:tcMar>
              <w:top w:w="0" w:type="dxa"/>
              <w:left w:w="0" w:type="dxa"/>
              <w:bottom w:w="0" w:type="dxa"/>
              <w:right w:w="0" w:type="dxa"/>
            </w:tcMar>
          </w:tcPr>
          <w:p w:rsidR="000E1865" w:rsidRDefault="00B51FCD">
            <w:pPr>
              <w:pStyle w:val="normal0"/>
              <w:rPr>
                <w:sz w:val="24"/>
                <w:szCs w:val="24"/>
              </w:rPr>
            </w:pPr>
            <w:r>
              <w:rPr>
                <w:sz w:val="24"/>
                <w:szCs w:val="24"/>
              </w:rPr>
              <w:t xml:space="preserve">129 </w:t>
            </w:r>
          </w:p>
        </w:tc>
        <w:tc>
          <w:tcPr>
            <w:tcW w:w="1560" w:type="dxa"/>
            <w:vMerge w:val="restart"/>
            <w:tcBorders>
              <w:top w:val="single" w:sz="12" w:space="0" w:color="000000"/>
              <w:left w:val="single" w:sz="6" w:space="0" w:color="000000"/>
              <w:bottom w:val="single" w:sz="12" w:space="0" w:color="000000"/>
              <w:right w:val="single" w:sz="6" w:space="0" w:color="000000"/>
            </w:tcBorders>
            <w:shd w:val="clear" w:color="auto" w:fill="auto"/>
            <w:tcMar>
              <w:top w:w="0" w:type="dxa"/>
              <w:left w:w="0" w:type="dxa"/>
              <w:bottom w:w="0" w:type="dxa"/>
              <w:right w:w="0" w:type="dxa"/>
            </w:tcMar>
          </w:tcPr>
          <w:p w:rsidR="000E1865" w:rsidRDefault="00B51FCD">
            <w:pPr>
              <w:pStyle w:val="normal0"/>
              <w:rPr>
                <w:sz w:val="24"/>
                <w:szCs w:val="24"/>
              </w:rPr>
            </w:pPr>
            <w:r>
              <w:rPr>
                <w:sz w:val="24"/>
                <w:szCs w:val="24"/>
              </w:rPr>
              <w:t xml:space="preserve">4.0 </w:t>
            </w:r>
          </w:p>
        </w:tc>
      </w:tr>
      <w:tr w:rsidR="000E1865">
        <w:trPr>
          <w:trHeight w:val="315"/>
        </w:trPr>
        <w:tc>
          <w:tcPr>
            <w:tcW w:w="1560" w:type="dxa"/>
            <w:vMerge/>
            <w:tcBorders>
              <w:top w:val="single" w:sz="12" w:space="0" w:color="000000"/>
              <w:left w:val="single" w:sz="6" w:space="0" w:color="000000"/>
              <w:bottom w:val="single" w:sz="12" w:space="0" w:color="000000"/>
              <w:right w:val="single" w:sz="6" w:space="0" w:color="000000"/>
            </w:tcBorders>
            <w:shd w:val="clear" w:color="auto" w:fill="auto"/>
            <w:tcMar>
              <w:top w:w="100" w:type="dxa"/>
              <w:left w:w="100" w:type="dxa"/>
              <w:bottom w:w="100" w:type="dxa"/>
              <w:right w:w="100" w:type="dxa"/>
            </w:tcMar>
          </w:tcPr>
          <w:p w:rsidR="000E1865" w:rsidRDefault="000E1865">
            <w:pPr>
              <w:pStyle w:val="normal0"/>
              <w:rPr>
                <w:sz w:val="18"/>
                <w:szCs w:val="18"/>
              </w:rPr>
            </w:pPr>
          </w:p>
        </w:tc>
        <w:tc>
          <w:tcPr>
            <w:tcW w:w="1560" w:type="dxa"/>
            <w:tcBorders>
              <w:top w:val="single" w:sz="6" w:space="0" w:color="000000"/>
              <w:left w:val="single" w:sz="6" w:space="0" w:color="000000"/>
              <w:bottom w:val="single" w:sz="12" w:space="0" w:color="000000"/>
              <w:right w:val="single" w:sz="6" w:space="0" w:color="000000"/>
            </w:tcBorders>
            <w:shd w:val="clear" w:color="auto" w:fill="auto"/>
            <w:tcMar>
              <w:top w:w="0" w:type="dxa"/>
              <w:left w:w="0" w:type="dxa"/>
              <w:bottom w:w="0" w:type="dxa"/>
              <w:right w:w="0" w:type="dxa"/>
            </w:tcMar>
          </w:tcPr>
          <w:p w:rsidR="000E1865" w:rsidRDefault="00B51FCD">
            <w:pPr>
              <w:pStyle w:val="normal0"/>
              <w:rPr>
                <w:sz w:val="24"/>
                <w:szCs w:val="24"/>
              </w:rPr>
            </w:pPr>
            <w:r>
              <w:rPr>
                <w:sz w:val="24"/>
                <w:szCs w:val="24"/>
              </w:rPr>
              <w:t xml:space="preserve">8p </w:t>
            </w:r>
          </w:p>
        </w:tc>
        <w:tc>
          <w:tcPr>
            <w:tcW w:w="1560" w:type="dxa"/>
            <w:tcBorders>
              <w:top w:val="single" w:sz="6" w:space="0" w:color="000000"/>
              <w:left w:val="single" w:sz="6" w:space="0" w:color="000000"/>
              <w:bottom w:val="single" w:sz="12" w:space="0" w:color="000000"/>
              <w:right w:val="single" w:sz="6" w:space="0" w:color="000000"/>
            </w:tcBorders>
            <w:shd w:val="clear" w:color="auto" w:fill="auto"/>
            <w:tcMar>
              <w:top w:w="0" w:type="dxa"/>
              <w:left w:w="0" w:type="dxa"/>
              <w:bottom w:w="0" w:type="dxa"/>
              <w:right w:w="0" w:type="dxa"/>
            </w:tcMar>
          </w:tcPr>
          <w:p w:rsidR="000E1865" w:rsidRDefault="00B51FCD">
            <w:pPr>
              <w:pStyle w:val="normal0"/>
              <w:rPr>
                <w:sz w:val="24"/>
                <w:szCs w:val="24"/>
              </w:rPr>
            </w:pPr>
            <w:r>
              <w:rPr>
                <w:sz w:val="24"/>
                <w:szCs w:val="24"/>
              </w:rPr>
              <w:t xml:space="preserve">125 </w:t>
            </w:r>
          </w:p>
        </w:tc>
        <w:tc>
          <w:tcPr>
            <w:tcW w:w="1560" w:type="dxa"/>
            <w:tcBorders>
              <w:top w:val="single" w:sz="6" w:space="0" w:color="000000"/>
              <w:left w:val="single" w:sz="6" w:space="0" w:color="000000"/>
              <w:bottom w:val="single" w:sz="12" w:space="0" w:color="000000"/>
              <w:right w:val="single" w:sz="6" w:space="0" w:color="000000"/>
            </w:tcBorders>
            <w:shd w:val="clear" w:color="auto" w:fill="auto"/>
            <w:tcMar>
              <w:top w:w="0" w:type="dxa"/>
              <w:left w:w="0" w:type="dxa"/>
              <w:bottom w:w="0" w:type="dxa"/>
              <w:right w:w="0" w:type="dxa"/>
            </w:tcMar>
          </w:tcPr>
          <w:p w:rsidR="000E1865" w:rsidRDefault="00B51FCD">
            <w:pPr>
              <w:pStyle w:val="normal0"/>
              <w:rPr>
                <w:sz w:val="24"/>
                <w:szCs w:val="24"/>
              </w:rPr>
            </w:pPr>
            <w:r>
              <w:rPr>
                <w:sz w:val="24"/>
                <w:szCs w:val="24"/>
              </w:rPr>
              <w:t xml:space="preserve">132 </w:t>
            </w:r>
          </w:p>
        </w:tc>
        <w:tc>
          <w:tcPr>
            <w:tcW w:w="1560" w:type="dxa"/>
            <w:tcBorders>
              <w:top w:val="single" w:sz="6" w:space="0" w:color="000000"/>
              <w:left w:val="single" w:sz="6" w:space="0" w:color="000000"/>
              <w:bottom w:val="single" w:sz="12" w:space="0" w:color="000000"/>
              <w:right w:val="single" w:sz="6" w:space="0" w:color="000000"/>
            </w:tcBorders>
            <w:shd w:val="clear" w:color="auto" w:fill="auto"/>
            <w:tcMar>
              <w:top w:w="0" w:type="dxa"/>
              <w:left w:w="0" w:type="dxa"/>
              <w:bottom w:w="0" w:type="dxa"/>
              <w:right w:w="0" w:type="dxa"/>
            </w:tcMar>
          </w:tcPr>
          <w:p w:rsidR="000E1865" w:rsidRDefault="00B51FCD">
            <w:pPr>
              <w:pStyle w:val="normal0"/>
              <w:rPr>
                <w:sz w:val="24"/>
                <w:szCs w:val="24"/>
              </w:rPr>
            </w:pPr>
            <w:r>
              <w:rPr>
                <w:sz w:val="24"/>
                <w:szCs w:val="24"/>
              </w:rPr>
              <w:t xml:space="preserve">138 </w:t>
            </w:r>
          </w:p>
        </w:tc>
        <w:tc>
          <w:tcPr>
            <w:tcW w:w="1560" w:type="dxa"/>
            <w:vMerge/>
            <w:tcBorders>
              <w:top w:val="single" w:sz="12" w:space="0" w:color="000000"/>
              <w:left w:val="single" w:sz="6" w:space="0" w:color="000000"/>
              <w:bottom w:val="single" w:sz="12" w:space="0" w:color="000000"/>
              <w:right w:val="single" w:sz="6" w:space="0" w:color="000000"/>
            </w:tcBorders>
            <w:shd w:val="clear" w:color="auto" w:fill="auto"/>
            <w:tcMar>
              <w:top w:w="100" w:type="dxa"/>
              <w:left w:w="100" w:type="dxa"/>
              <w:bottom w:w="100" w:type="dxa"/>
              <w:right w:w="100" w:type="dxa"/>
            </w:tcMar>
          </w:tcPr>
          <w:p w:rsidR="000E1865" w:rsidRDefault="000E1865">
            <w:pPr>
              <w:pStyle w:val="normal0"/>
              <w:rPr>
                <w:sz w:val="18"/>
                <w:szCs w:val="18"/>
              </w:rPr>
            </w:pPr>
          </w:p>
        </w:tc>
      </w:tr>
    </w:tbl>
    <w:p w:rsidR="000E1865" w:rsidRDefault="000E1865">
      <w:pPr>
        <w:pStyle w:val="normal0"/>
      </w:pPr>
    </w:p>
    <w:p w:rsidR="000E1865" w:rsidRDefault="00B51FCD">
      <w:pPr>
        <w:pStyle w:val="normal0"/>
        <w:rPr>
          <w:i/>
        </w:rPr>
      </w:pPr>
      <w:r>
        <w:rPr>
          <w:i/>
        </w:rPr>
        <w:lastRenderedPageBreak/>
        <w:t xml:space="preserve">* Where a 1b1p has a shower room instead of a bathroom, the floor area may be reduced from 39m2 to 37m2 </w:t>
      </w:r>
    </w:p>
    <w:p w:rsidR="000E1865" w:rsidRDefault="000E1865">
      <w:pPr>
        <w:pStyle w:val="normal0"/>
      </w:pPr>
    </w:p>
    <w:p w:rsidR="000E1865" w:rsidRDefault="00B51FCD">
      <w:pPr>
        <w:pStyle w:val="normal0"/>
      </w:pPr>
      <w:r>
        <w:t>Figure 5: Nationally Described Space Standards</w:t>
      </w:r>
    </w:p>
    <w:p w:rsidR="000E1865" w:rsidRDefault="000E1865">
      <w:pPr>
        <w:pStyle w:val="normal0"/>
      </w:pPr>
    </w:p>
    <w:p w:rsidR="000E1865" w:rsidRDefault="00B51FCD">
      <w:pPr>
        <w:pStyle w:val="normal0"/>
      </w:pPr>
      <w:r>
        <w:t xml:space="preserve"> </w:t>
      </w:r>
    </w:p>
    <w:p w:rsidR="000E1865" w:rsidRDefault="000E1865">
      <w:pPr>
        <w:pStyle w:val="normal0"/>
      </w:pPr>
    </w:p>
    <w:p w:rsidR="000E1865" w:rsidRDefault="000E1865">
      <w:pPr>
        <w:pStyle w:val="normal0"/>
      </w:pPr>
    </w:p>
    <w:p w:rsidR="000E1865" w:rsidRDefault="00B51FCD">
      <w:pPr>
        <w:pStyle w:val="normal0"/>
        <w:rPr>
          <w:u w:val="single"/>
        </w:rPr>
      </w:pPr>
      <w:r>
        <w:rPr>
          <w:u w:val="single"/>
        </w:rPr>
        <w:t xml:space="preserve">HMO Licence requirements </w:t>
      </w:r>
    </w:p>
    <w:p w:rsidR="000E1865" w:rsidRDefault="000E1865">
      <w:pPr>
        <w:pStyle w:val="normal0"/>
        <w:rPr>
          <w:u w:val="single"/>
        </w:rPr>
      </w:pPr>
    </w:p>
    <w:p w:rsidR="000E1865" w:rsidRDefault="00B51FCD">
      <w:pPr>
        <w:pStyle w:val="normal0"/>
      </w:pPr>
      <w:r>
        <w:t xml:space="preserve">For HMOs with a requirement for a licence from the local council, there is a minimum space standard for bedrooms as shown in the below table:  </w:t>
      </w:r>
    </w:p>
    <w:p w:rsidR="000E1865" w:rsidRDefault="000E1865">
      <w:pPr>
        <w:pStyle w:val="normal0"/>
      </w:pPr>
    </w:p>
    <w:tbl>
      <w:tblPr>
        <w:tblStyle w:val="a2"/>
        <w:tblW w:w="9345"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Look w:val="0600"/>
      </w:tblPr>
      <w:tblGrid>
        <w:gridCol w:w="2580"/>
        <w:gridCol w:w="6765"/>
      </w:tblGrid>
      <w:tr w:rsidR="000E1865">
        <w:trPr>
          <w:trHeight w:val="315"/>
        </w:trPr>
        <w:tc>
          <w:tcPr>
            <w:tcW w:w="258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b/>
                <w:sz w:val="24"/>
                <w:szCs w:val="24"/>
              </w:rPr>
              <w:t>Bedroom size</w:t>
            </w:r>
            <w:r>
              <w:rPr>
                <w:sz w:val="24"/>
                <w:szCs w:val="24"/>
              </w:rPr>
              <w:t xml:space="preserve"> </w:t>
            </w:r>
          </w:p>
        </w:tc>
        <w:tc>
          <w:tcPr>
            <w:tcW w:w="676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b/>
                <w:sz w:val="24"/>
                <w:szCs w:val="24"/>
              </w:rPr>
              <w:t>Persons</w:t>
            </w:r>
            <w:r>
              <w:rPr>
                <w:sz w:val="24"/>
                <w:szCs w:val="24"/>
              </w:rPr>
              <w:t xml:space="preserve"> </w:t>
            </w:r>
          </w:p>
        </w:tc>
      </w:tr>
      <w:tr w:rsidR="000E1865">
        <w:trPr>
          <w:trHeight w:val="315"/>
        </w:trPr>
        <w:tc>
          <w:tcPr>
            <w:tcW w:w="258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4.64 </w:t>
            </w:r>
            <w:proofErr w:type="spellStart"/>
            <w:r>
              <w:rPr>
                <w:sz w:val="24"/>
                <w:szCs w:val="24"/>
              </w:rPr>
              <w:t>sqm</w:t>
            </w:r>
            <w:proofErr w:type="spellEnd"/>
            <w:r>
              <w:rPr>
                <w:sz w:val="24"/>
                <w:szCs w:val="24"/>
              </w:rPr>
              <w:t xml:space="preserve"> </w:t>
            </w:r>
          </w:p>
        </w:tc>
        <w:tc>
          <w:tcPr>
            <w:tcW w:w="676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Child under 10 years old </w:t>
            </w:r>
          </w:p>
        </w:tc>
      </w:tr>
      <w:tr w:rsidR="000E1865">
        <w:trPr>
          <w:trHeight w:val="315"/>
        </w:trPr>
        <w:tc>
          <w:tcPr>
            <w:tcW w:w="258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6.51 </w:t>
            </w:r>
            <w:proofErr w:type="spellStart"/>
            <w:r>
              <w:rPr>
                <w:sz w:val="24"/>
                <w:szCs w:val="24"/>
              </w:rPr>
              <w:t>sqm</w:t>
            </w:r>
            <w:proofErr w:type="spellEnd"/>
            <w:r>
              <w:rPr>
                <w:sz w:val="24"/>
                <w:szCs w:val="24"/>
              </w:rPr>
              <w:t xml:space="preserve"> </w:t>
            </w:r>
          </w:p>
        </w:tc>
        <w:tc>
          <w:tcPr>
            <w:tcW w:w="676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1 Person aged 10 or over </w:t>
            </w:r>
          </w:p>
        </w:tc>
      </w:tr>
      <w:tr w:rsidR="000E1865">
        <w:trPr>
          <w:trHeight w:val="315"/>
        </w:trPr>
        <w:tc>
          <w:tcPr>
            <w:tcW w:w="258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10.22 </w:t>
            </w:r>
          </w:p>
        </w:tc>
        <w:tc>
          <w:tcPr>
            <w:tcW w:w="676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Two persons aged 10 or over </w:t>
            </w:r>
          </w:p>
        </w:tc>
      </w:tr>
    </w:tbl>
    <w:p w:rsidR="000E1865" w:rsidRDefault="000E1865">
      <w:pPr>
        <w:pStyle w:val="normal0"/>
      </w:pPr>
    </w:p>
    <w:p w:rsidR="000E1865" w:rsidRDefault="00B51FCD">
      <w:pPr>
        <w:pStyle w:val="normal0"/>
      </w:pPr>
      <w:r>
        <w:t>Figure 6: HMO Licence space standards</w:t>
      </w:r>
    </w:p>
    <w:p w:rsidR="000E1865" w:rsidRDefault="000E1865">
      <w:pPr>
        <w:pStyle w:val="normal0"/>
      </w:pPr>
    </w:p>
    <w:p w:rsidR="000E1865" w:rsidRDefault="00B51FCD">
      <w:pPr>
        <w:pStyle w:val="normal0"/>
      </w:pPr>
      <w:r>
        <w:t xml:space="preserve"> </w:t>
      </w:r>
    </w:p>
    <w:p w:rsidR="000E1865" w:rsidRDefault="000E1865">
      <w:pPr>
        <w:pStyle w:val="normal0"/>
      </w:pPr>
    </w:p>
    <w:p w:rsidR="000E1865" w:rsidRDefault="00B51FCD">
      <w:pPr>
        <w:pStyle w:val="normal0"/>
      </w:pPr>
      <w:r>
        <w:t xml:space="preserve"> </w:t>
      </w:r>
    </w:p>
    <w:p w:rsidR="000E1865" w:rsidRDefault="00B51FCD">
      <w:pPr>
        <w:pStyle w:val="normal0"/>
      </w:pPr>
      <w:r>
        <w:t xml:space="preserve"> </w:t>
      </w:r>
    </w:p>
    <w:p w:rsidR="000E1865" w:rsidRDefault="000E1865">
      <w:pPr>
        <w:pStyle w:val="normal0"/>
      </w:pPr>
    </w:p>
    <w:p w:rsidR="000E1865" w:rsidRDefault="00B51FCD">
      <w:pPr>
        <w:pStyle w:val="normal0"/>
        <w:rPr>
          <w:b/>
        </w:rPr>
      </w:pPr>
      <w:r>
        <w:br w:type="page"/>
      </w:r>
    </w:p>
    <w:p w:rsidR="000E1865" w:rsidRDefault="00B51FCD">
      <w:pPr>
        <w:pStyle w:val="normal0"/>
        <w:rPr>
          <w:b/>
        </w:rPr>
      </w:pPr>
      <w:r>
        <w:rPr>
          <w:b/>
        </w:rPr>
        <w:lastRenderedPageBreak/>
        <w:t xml:space="preserve">4. Space standards in Leeds </w:t>
      </w:r>
    </w:p>
    <w:p w:rsidR="000E1865" w:rsidRDefault="000E1865">
      <w:pPr>
        <w:pStyle w:val="normal0"/>
      </w:pPr>
    </w:p>
    <w:p w:rsidR="000E1865" w:rsidRDefault="00B51FCD">
      <w:pPr>
        <w:pStyle w:val="normal0"/>
        <w:rPr>
          <w:u w:val="single"/>
        </w:rPr>
      </w:pPr>
      <w:r>
        <w:rPr>
          <w:u w:val="single"/>
        </w:rPr>
        <w:t xml:space="preserve">Leeds City Council space standards </w:t>
      </w:r>
    </w:p>
    <w:p w:rsidR="000E1865" w:rsidRDefault="000E1865">
      <w:pPr>
        <w:pStyle w:val="normal0"/>
      </w:pPr>
    </w:p>
    <w:p w:rsidR="000E1865" w:rsidRDefault="00B51FCD">
      <w:pPr>
        <w:pStyle w:val="normal0"/>
      </w:pPr>
      <w:r>
        <w:t>The Leeds City Council Core Strategy, adopted September 2019, includes Policy H9: Minimum Space Standards and this adopted the Nationally Described Space Standards. These standards only apply to new dwellings under C3 of the Use Class Order. Leeds City Cou</w:t>
      </w:r>
      <w:r>
        <w:t>ncil have recognised that the space standards were not designed to take into account student accommodation, acknowledging that students spend prolonged periods of time in private spaces such as bedrooms, more so than occupiers of general housing. The Counc</w:t>
      </w:r>
      <w:r>
        <w:t>il considers that the provision of reasonable space standards are required for purpose-built student accommodation and are therefore in the process of producing a supplementary planning document to address the matter. Additionally, Policy H9 does not apply</w:t>
      </w:r>
      <w:r>
        <w:t xml:space="preserve"> to Houses in Multiple Occupation (HMOs) which is problematic, as significant numbers of students reside in HMOs.  </w:t>
      </w:r>
    </w:p>
    <w:p w:rsidR="000E1865" w:rsidRDefault="000E1865">
      <w:pPr>
        <w:pStyle w:val="normal0"/>
      </w:pPr>
    </w:p>
    <w:p w:rsidR="000E1865" w:rsidRDefault="00B51FCD">
      <w:pPr>
        <w:pStyle w:val="normal0"/>
      </w:pPr>
      <w:r>
        <w:t>The Council has recognised that some areas of the city have extreme concentrations of HMOs and these can have some negative effects on communities, together with the reduction in general housing stock. The Woodhouse area of Leeds is one of the areas covere</w:t>
      </w:r>
      <w:r>
        <w:t xml:space="preserve">d by an Article 4 Direction, requiring that any change of use of a dwelling within Class C3 to a HMO (Class C4) will require the submission of an application for planning permission.  </w:t>
      </w:r>
    </w:p>
    <w:p w:rsidR="000E1865" w:rsidRDefault="000E1865">
      <w:pPr>
        <w:pStyle w:val="normal0"/>
      </w:pPr>
    </w:p>
    <w:p w:rsidR="000E1865" w:rsidRDefault="00B51FCD">
      <w:pPr>
        <w:pStyle w:val="normal0"/>
        <w:rPr>
          <w:u w:val="single"/>
        </w:rPr>
      </w:pPr>
      <w:r>
        <w:t xml:space="preserve"> </w:t>
      </w:r>
    </w:p>
    <w:p w:rsidR="000E1865" w:rsidRDefault="00B51FCD">
      <w:pPr>
        <w:pStyle w:val="normal0"/>
        <w:rPr>
          <w:u w:val="single"/>
        </w:rPr>
      </w:pPr>
      <w:r>
        <w:rPr>
          <w:u w:val="single"/>
        </w:rPr>
        <w:t xml:space="preserve">Leeds City Council Draft HMO, PBSA and co-living amenity standards SPD </w:t>
      </w:r>
    </w:p>
    <w:p w:rsidR="000E1865" w:rsidRDefault="000E1865">
      <w:pPr>
        <w:pStyle w:val="normal0"/>
      </w:pPr>
    </w:p>
    <w:p w:rsidR="000E1865" w:rsidRDefault="00B51FCD">
      <w:pPr>
        <w:pStyle w:val="normal0"/>
      </w:pPr>
      <w:r>
        <w:t xml:space="preserve">Leeds City Council </w:t>
      </w:r>
      <w:proofErr w:type="gramStart"/>
      <w:r>
        <w:t>are</w:t>
      </w:r>
      <w:proofErr w:type="gramEnd"/>
      <w:r>
        <w:t xml:space="preserve"> in the process of producing a Supplementary Planning Document (SPD) in relation to HMO, PBSA and Co-living amenity standards. A document has been drafted with p</w:t>
      </w:r>
      <w:r>
        <w:t xml:space="preserve">re-adoption consultations to be undertaken. To date, no further information is available regarding the progress of the SPD.   </w:t>
      </w:r>
    </w:p>
    <w:p w:rsidR="000E1865" w:rsidRDefault="000E1865">
      <w:pPr>
        <w:pStyle w:val="normal0"/>
      </w:pPr>
    </w:p>
    <w:p w:rsidR="000E1865" w:rsidRDefault="00B51FCD">
      <w:pPr>
        <w:pStyle w:val="normal0"/>
      </w:pPr>
      <w:r>
        <w:t>The SPD is intended for use when assessing planning applications and pre-application advice with regards to HMOs, PBSA and co-li</w:t>
      </w:r>
      <w:r>
        <w:t xml:space="preserve">ving schemes. Where proposals do not meet the standards set out in the SPD, permission should be refused.  </w:t>
      </w:r>
    </w:p>
    <w:p w:rsidR="000E1865" w:rsidRDefault="000E1865">
      <w:pPr>
        <w:pStyle w:val="normal0"/>
      </w:pPr>
    </w:p>
    <w:p w:rsidR="000E1865" w:rsidRDefault="00B51FCD">
      <w:pPr>
        <w:pStyle w:val="normal0"/>
      </w:pPr>
      <w:r>
        <w:t xml:space="preserve">The draft SPD indicates the proposed minimum space standards for rooms within HMOs as shown in the below table: </w:t>
      </w:r>
    </w:p>
    <w:p w:rsidR="000E1865" w:rsidRDefault="000E1865">
      <w:pPr>
        <w:pStyle w:val="normal0"/>
      </w:pPr>
    </w:p>
    <w:tbl>
      <w:tblPr>
        <w:tblStyle w:val="a3"/>
        <w:tblW w:w="9360"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Look w:val="0600"/>
      </w:tblPr>
      <w:tblGrid>
        <w:gridCol w:w="2340"/>
        <w:gridCol w:w="2340"/>
        <w:gridCol w:w="2340"/>
        <w:gridCol w:w="2340"/>
      </w:tblGrid>
      <w:tr w:rsidR="000E1865">
        <w:trPr>
          <w:trHeight w:val="315"/>
        </w:trPr>
        <w:tc>
          <w:tcPr>
            <w:tcW w:w="234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b/>
                <w:sz w:val="24"/>
                <w:szCs w:val="24"/>
              </w:rPr>
              <w:t>Occupancy</w:t>
            </w:r>
            <w:r>
              <w:rPr>
                <w:sz w:val="24"/>
                <w:szCs w:val="24"/>
              </w:rPr>
              <w:t xml:space="preserve"> </w:t>
            </w:r>
          </w:p>
        </w:tc>
        <w:tc>
          <w:tcPr>
            <w:tcW w:w="234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proofErr w:type="spellStart"/>
            <w:r>
              <w:rPr>
                <w:b/>
                <w:sz w:val="24"/>
                <w:szCs w:val="24"/>
              </w:rPr>
              <w:t>Ensuite</w:t>
            </w:r>
            <w:proofErr w:type="spellEnd"/>
            <w:r>
              <w:rPr>
                <w:sz w:val="24"/>
                <w:szCs w:val="24"/>
              </w:rPr>
              <w:t xml:space="preserve"> </w:t>
            </w:r>
          </w:p>
        </w:tc>
        <w:tc>
          <w:tcPr>
            <w:tcW w:w="234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b/>
                <w:sz w:val="24"/>
                <w:szCs w:val="24"/>
              </w:rPr>
              <w:t>Shower room</w:t>
            </w:r>
            <w:r>
              <w:rPr>
                <w:sz w:val="24"/>
                <w:szCs w:val="24"/>
              </w:rPr>
              <w:t xml:space="preserve"> </w:t>
            </w:r>
          </w:p>
        </w:tc>
        <w:tc>
          <w:tcPr>
            <w:tcW w:w="234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b/>
                <w:sz w:val="24"/>
                <w:szCs w:val="24"/>
              </w:rPr>
              <w:t>WC</w:t>
            </w:r>
            <w:r>
              <w:rPr>
                <w:sz w:val="24"/>
                <w:szCs w:val="24"/>
              </w:rPr>
              <w:t xml:space="preserve"> </w:t>
            </w:r>
          </w:p>
        </w:tc>
      </w:tr>
      <w:tr w:rsidR="000E1865">
        <w:trPr>
          <w:trHeight w:val="315"/>
        </w:trPr>
        <w:tc>
          <w:tcPr>
            <w:tcW w:w="234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Single </w:t>
            </w:r>
          </w:p>
        </w:tc>
        <w:tc>
          <w:tcPr>
            <w:tcW w:w="234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3.4sqm </w:t>
            </w:r>
          </w:p>
        </w:tc>
        <w:tc>
          <w:tcPr>
            <w:tcW w:w="234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2.4sqm </w:t>
            </w:r>
          </w:p>
        </w:tc>
        <w:tc>
          <w:tcPr>
            <w:tcW w:w="234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1.4sqm </w:t>
            </w:r>
          </w:p>
        </w:tc>
      </w:tr>
      <w:tr w:rsidR="000E1865">
        <w:trPr>
          <w:trHeight w:val="315"/>
        </w:trPr>
        <w:tc>
          <w:tcPr>
            <w:tcW w:w="234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Double </w:t>
            </w:r>
          </w:p>
        </w:tc>
        <w:tc>
          <w:tcPr>
            <w:tcW w:w="234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3.76sqm </w:t>
            </w:r>
          </w:p>
        </w:tc>
        <w:tc>
          <w:tcPr>
            <w:tcW w:w="2340" w:type="dxa"/>
            <w:tcBorders>
              <w:top w:val="single" w:sz="6" w:space="0" w:color="000000"/>
              <w:left w:val="single" w:sz="6" w:space="0" w:color="000000"/>
              <w:bottom w:val="single" w:sz="6" w:space="0" w:color="000000"/>
              <w:right w:val="single" w:sz="6" w:space="0" w:color="000000"/>
            </w:tcBorders>
            <w:shd w:val="clear" w:color="auto" w:fill="000000"/>
            <w:tcMar>
              <w:top w:w="0" w:type="dxa"/>
              <w:left w:w="0" w:type="dxa"/>
              <w:bottom w:w="0" w:type="dxa"/>
              <w:right w:w="0" w:type="dxa"/>
            </w:tcMar>
          </w:tcPr>
          <w:p w:rsidR="000E1865" w:rsidRDefault="00B51FCD">
            <w:pPr>
              <w:pStyle w:val="normal0"/>
              <w:rPr>
                <w:sz w:val="24"/>
                <w:szCs w:val="24"/>
              </w:rPr>
            </w:pPr>
            <w:r>
              <w:rPr>
                <w:sz w:val="24"/>
                <w:szCs w:val="24"/>
              </w:rPr>
              <w:t xml:space="preserve"> </w:t>
            </w:r>
          </w:p>
        </w:tc>
        <w:tc>
          <w:tcPr>
            <w:tcW w:w="2340" w:type="dxa"/>
            <w:tcBorders>
              <w:top w:val="single" w:sz="6" w:space="0" w:color="000000"/>
              <w:left w:val="single" w:sz="6" w:space="0" w:color="000000"/>
              <w:bottom w:val="single" w:sz="6" w:space="0" w:color="000000"/>
              <w:right w:val="single" w:sz="6" w:space="0" w:color="000000"/>
            </w:tcBorders>
            <w:shd w:val="clear" w:color="auto" w:fill="000000"/>
            <w:tcMar>
              <w:top w:w="0" w:type="dxa"/>
              <w:left w:w="0" w:type="dxa"/>
              <w:bottom w:w="0" w:type="dxa"/>
              <w:right w:w="0" w:type="dxa"/>
            </w:tcMar>
          </w:tcPr>
          <w:p w:rsidR="000E1865" w:rsidRDefault="00B51FCD">
            <w:pPr>
              <w:pStyle w:val="normal0"/>
              <w:rPr>
                <w:sz w:val="24"/>
                <w:szCs w:val="24"/>
              </w:rPr>
            </w:pPr>
            <w:r>
              <w:rPr>
                <w:sz w:val="24"/>
                <w:szCs w:val="24"/>
              </w:rPr>
              <w:t xml:space="preserve"> </w:t>
            </w:r>
          </w:p>
        </w:tc>
      </w:tr>
    </w:tbl>
    <w:p w:rsidR="000E1865" w:rsidRDefault="000E1865">
      <w:pPr>
        <w:pStyle w:val="normal0"/>
      </w:pPr>
    </w:p>
    <w:p w:rsidR="000E1865" w:rsidRDefault="00B51FCD">
      <w:pPr>
        <w:pStyle w:val="normal0"/>
      </w:pPr>
      <w:r>
        <w:t>Figure 7: Draft space standard for rooms within HMOs as indicated with the Leeds City Council draft SPD</w:t>
      </w:r>
    </w:p>
    <w:p w:rsidR="000E1865" w:rsidRDefault="000E1865">
      <w:pPr>
        <w:pStyle w:val="normal0"/>
      </w:pPr>
    </w:p>
    <w:p w:rsidR="000E1865" w:rsidRDefault="00B51FCD">
      <w:pPr>
        <w:pStyle w:val="normal0"/>
      </w:pPr>
      <w:r>
        <w:t xml:space="preserve"> </w:t>
      </w:r>
    </w:p>
    <w:p w:rsidR="000E1865" w:rsidRDefault="000E1865">
      <w:pPr>
        <w:pStyle w:val="normal0"/>
      </w:pPr>
    </w:p>
    <w:p w:rsidR="000E1865" w:rsidRDefault="00B51FCD">
      <w:pPr>
        <w:pStyle w:val="normal0"/>
      </w:pPr>
      <w:r>
        <w:t xml:space="preserve">The draft space standard of bedrooms (not </w:t>
      </w:r>
      <w:proofErr w:type="spellStart"/>
      <w:r>
        <w:t>ensuite</w:t>
      </w:r>
      <w:proofErr w:type="spellEnd"/>
      <w:r>
        <w:t xml:space="preserve">) within HMOs are indicated in the below table </w:t>
      </w:r>
    </w:p>
    <w:p w:rsidR="000E1865" w:rsidRDefault="000E1865">
      <w:pPr>
        <w:pStyle w:val="normal0"/>
      </w:pPr>
    </w:p>
    <w:tbl>
      <w:tblPr>
        <w:tblStyle w:val="a4"/>
        <w:tblW w:w="9360"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Look w:val="0600"/>
      </w:tblPr>
      <w:tblGrid>
        <w:gridCol w:w="4680"/>
        <w:gridCol w:w="4680"/>
      </w:tblGrid>
      <w:tr w:rsidR="000E1865">
        <w:trPr>
          <w:trHeight w:val="315"/>
        </w:trPr>
        <w:tc>
          <w:tcPr>
            <w:tcW w:w="468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b/>
                <w:sz w:val="24"/>
                <w:szCs w:val="24"/>
              </w:rPr>
              <w:t>Persons</w:t>
            </w:r>
            <w:r>
              <w:rPr>
                <w:sz w:val="24"/>
                <w:szCs w:val="24"/>
              </w:rPr>
              <w:t xml:space="preserve"> </w:t>
            </w:r>
          </w:p>
        </w:tc>
        <w:tc>
          <w:tcPr>
            <w:tcW w:w="468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b/>
                <w:sz w:val="24"/>
                <w:szCs w:val="24"/>
              </w:rPr>
              <w:t>Bedroom size</w:t>
            </w:r>
            <w:r>
              <w:rPr>
                <w:sz w:val="24"/>
                <w:szCs w:val="24"/>
              </w:rPr>
              <w:t xml:space="preserve"> </w:t>
            </w:r>
          </w:p>
        </w:tc>
      </w:tr>
      <w:tr w:rsidR="000E1865">
        <w:trPr>
          <w:trHeight w:val="315"/>
        </w:trPr>
        <w:tc>
          <w:tcPr>
            <w:tcW w:w="468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1 person </w:t>
            </w:r>
          </w:p>
        </w:tc>
        <w:tc>
          <w:tcPr>
            <w:tcW w:w="468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11 </w:t>
            </w:r>
            <w:proofErr w:type="spellStart"/>
            <w:r>
              <w:rPr>
                <w:sz w:val="24"/>
                <w:szCs w:val="24"/>
              </w:rPr>
              <w:t>sqm</w:t>
            </w:r>
            <w:proofErr w:type="spellEnd"/>
            <w:r>
              <w:rPr>
                <w:sz w:val="24"/>
                <w:szCs w:val="24"/>
              </w:rPr>
              <w:t xml:space="preserve"> </w:t>
            </w:r>
          </w:p>
        </w:tc>
      </w:tr>
      <w:tr w:rsidR="000E1865">
        <w:trPr>
          <w:trHeight w:val="315"/>
        </w:trPr>
        <w:tc>
          <w:tcPr>
            <w:tcW w:w="468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2 people </w:t>
            </w:r>
          </w:p>
        </w:tc>
        <w:tc>
          <w:tcPr>
            <w:tcW w:w="468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13 </w:t>
            </w:r>
            <w:proofErr w:type="spellStart"/>
            <w:r>
              <w:rPr>
                <w:sz w:val="24"/>
                <w:szCs w:val="24"/>
              </w:rPr>
              <w:t>sqm</w:t>
            </w:r>
            <w:proofErr w:type="spellEnd"/>
            <w:r>
              <w:rPr>
                <w:sz w:val="24"/>
                <w:szCs w:val="24"/>
              </w:rPr>
              <w:t xml:space="preserve"> </w:t>
            </w:r>
          </w:p>
        </w:tc>
      </w:tr>
    </w:tbl>
    <w:p w:rsidR="000E1865" w:rsidRDefault="000E1865">
      <w:pPr>
        <w:pStyle w:val="normal0"/>
      </w:pPr>
    </w:p>
    <w:p w:rsidR="000E1865" w:rsidRDefault="00B51FCD">
      <w:pPr>
        <w:pStyle w:val="normal0"/>
      </w:pPr>
      <w:r>
        <w:t>Figure 8: Draft space standards for bedrooms within HMOs as indicated with the Leeds City Council draft SPD</w:t>
      </w:r>
    </w:p>
    <w:p w:rsidR="000E1865" w:rsidRDefault="000E1865">
      <w:pPr>
        <w:pStyle w:val="normal0"/>
      </w:pPr>
    </w:p>
    <w:p w:rsidR="000E1865" w:rsidRDefault="00B51FCD">
      <w:pPr>
        <w:pStyle w:val="normal0"/>
      </w:pPr>
      <w:r>
        <w:t xml:space="preserve"> </w:t>
      </w:r>
    </w:p>
    <w:p w:rsidR="000E1865" w:rsidRDefault="00B51FCD">
      <w:pPr>
        <w:pStyle w:val="normal0"/>
      </w:pPr>
      <w:r>
        <w:t xml:space="preserve">The table as shown below indicates the draft minimum space standards for rooms within HMOs as indicated within the SPD. </w:t>
      </w:r>
    </w:p>
    <w:p w:rsidR="000E1865" w:rsidRDefault="000E1865">
      <w:pPr>
        <w:pStyle w:val="normal0"/>
      </w:pPr>
    </w:p>
    <w:tbl>
      <w:tblPr>
        <w:tblStyle w:val="a5"/>
        <w:tblW w:w="9360"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Look w:val="0600"/>
      </w:tblPr>
      <w:tblGrid>
        <w:gridCol w:w="1762"/>
        <w:gridCol w:w="1434"/>
        <w:gridCol w:w="1582"/>
        <w:gridCol w:w="1627"/>
        <w:gridCol w:w="1537"/>
        <w:gridCol w:w="1418"/>
      </w:tblGrid>
      <w:tr w:rsidR="000E1865">
        <w:trPr>
          <w:trHeight w:val="1770"/>
        </w:trPr>
        <w:tc>
          <w:tcPr>
            <w:tcW w:w="176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b/>
                <w:sz w:val="24"/>
                <w:szCs w:val="24"/>
              </w:rPr>
              <w:t xml:space="preserve">Facilities </w:t>
            </w:r>
            <w:r>
              <w:rPr>
                <w:sz w:val="24"/>
                <w:szCs w:val="24"/>
              </w:rPr>
              <w:t>(Minimum siz</w:t>
            </w:r>
            <w:r>
              <w:rPr>
                <w:sz w:val="24"/>
                <w:szCs w:val="24"/>
              </w:rPr>
              <w:t xml:space="preserve">es </w:t>
            </w:r>
            <w:proofErr w:type="spellStart"/>
            <w:r>
              <w:rPr>
                <w:sz w:val="24"/>
                <w:szCs w:val="24"/>
              </w:rPr>
              <w:t>sqm</w:t>
            </w:r>
            <w:proofErr w:type="spellEnd"/>
            <w:r>
              <w:rPr>
                <w:sz w:val="24"/>
                <w:szCs w:val="24"/>
              </w:rPr>
              <w:t xml:space="preserve">) </w:t>
            </w:r>
          </w:p>
        </w:tc>
        <w:tc>
          <w:tcPr>
            <w:tcW w:w="143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b/>
                <w:sz w:val="24"/>
                <w:szCs w:val="24"/>
              </w:rPr>
              <w:t xml:space="preserve">Kitchen </w:t>
            </w:r>
            <w:r>
              <w:rPr>
                <w:sz w:val="24"/>
                <w:szCs w:val="24"/>
              </w:rPr>
              <w:t xml:space="preserve">(Does not include living, dining or bathroom) </w:t>
            </w:r>
          </w:p>
        </w:tc>
        <w:tc>
          <w:tcPr>
            <w:tcW w:w="1582"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b/>
                <w:sz w:val="24"/>
                <w:szCs w:val="24"/>
              </w:rPr>
              <w:t xml:space="preserve">Living/Dining </w:t>
            </w:r>
            <w:r>
              <w:rPr>
                <w:sz w:val="24"/>
                <w:szCs w:val="24"/>
              </w:rPr>
              <w:t xml:space="preserve">(Does not include kitchen or bathroom) </w:t>
            </w:r>
          </w:p>
        </w:tc>
        <w:tc>
          <w:tcPr>
            <w:tcW w:w="162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b/>
                <w:sz w:val="24"/>
                <w:szCs w:val="24"/>
              </w:rPr>
              <w:t xml:space="preserve">Kitchen/Dining </w:t>
            </w:r>
            <w:r>
              <w:rPr>
                <w:sz w:val="24"/>
                <w:szCs w:val="24"/>
              </w:rPr>
              <w:t>(Does not include living or bathroom</w:t>
            </w:r>
            <w:r>
              <w:rPr>
                <w:b/>
                <w:sz w:val="24"/>
                <w:szCs w:val="24"/>
              </w:rPr>
              <w:t>)</w:t>
            </w:r>
            <w:r>
              <w:rPr>
                <w:sz w:val="24"/>
                <w:szCs w:val="24"/>
              </w:rPr>
              <w:t xml:space="preserve"> </w:t>
            </w:r>
          </w:p>
        </w:tc>
        <w:tc>
          <w:tcPr>
            <w:tcW w:w="153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b/>
                <w:sz w:val="24"/>
                <w:szCs w:val="24"/>
              </w:rPr>
              <w:t xml:space="preserve">Living </w:t>
            </w:r>
            <w:r>
              <w:rPr>
                <w:sz w:val="24"/>
                <w:szCs w:val="24"/>
              </w:rPr>
              <w:t xml:space="preserve">(Does not include kitchen, dining or bathroom) </w:t>
            </w:r>
          </w:p>
        </w:tc>
        <w:tc>
          <w:tcPr>
            <w:tcW w:w="1418"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b/>
                <w:sz w:val="24"/>
                <w:szCs w:val="24"/>
              </w:rPr>
              <w:t xml:space="preserve">Dining </w:t>
            </w:r>
            <w:r>
              <w:rPr>
                <w:sz w:val="24"/>
                <w:szCs w:val="24"/>
              </w:rPr>
              <w:t xml:space="preserve">(Does not include kitchen, living or bathroom) </w:t>
            </w:r>
          </w:p>
        </w:tc>
      </w:tr>
      <w:tr w:rsidR="000E1865">
        <w:trPr>
          <w:trHeight w:val="600"/>
        </w:trPr>
        <w:tc>
          <w:tcPr>
            <w:tcW w:w="176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1 person (Single room) </w:t>
            </w:r>
          </w:p>
        </w:tc>
        <w:tc>
          <w:tcPr>
            <w:tcW w:w="143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5.5 </w:t>
            </w:r>
          </w:p>
        </w:tc>
        <w:tc>
          <w:tcPr>
            <w:tcW w:w="1582"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13 </w:t>
            </w:r>
          </w:p>
        </w:tc>
        <w:tc>
          <w:tcPr>
            <w:tcW w:w="162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8 </w:t>
            </w:r>
          </w:p>
        </w:tc>
        <w:tc>
          <w:tcPr>
            <w:tcW w:w="153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11 </w:t>
            </w:r>
          </w:p>
        </w:tc>
        <w:tc>
          <w:tcPr>
            <w:tcW w:w="1418"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4 </w:t>
            </w:r>
          </w:p>
        </w:tc>
      </w:tr>
      <w:tr w:rsidR="000E1865">
        <w:trPr>
          <w:trHeight w:val="1185"/>
        </w:trPr>
        <w:tc>
          <w:tcPr>
            <w:tcW w:w="176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2 people (double room or two single bedrooms) </w:t>
            </w:r>
          </w:p>
        </w:tc>
        <w:tc>
          <w:tcPr>
            <w:tcW w:w="143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6.5 </w:t>
            </w:r>
          </w:p>
        </w:tc>
        <w:tc>
          <w:tcPr>
            <w:tcW w:w="1582"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14 </w:t>
            </w:r>
          </w:p>
        </w:tc>
        <w:tc>
          <w:tcPr>
            <w:tcW w:w="162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9 </w:t>
            </w:r>
          </w:p>
        </w:tc>
        <w:tc>
          <w:tcPr>
            <w:tcW w:w="153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12 </w:t>
            </w:r>
          </w:p>
        </w:tc>
        <w:tc>
          <w:tcPr>
            <w:tcW w:w="1418"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4 </w:t>
            </w:r>
          </w:p>
        </w:tc>
      </w:tr>
      <w:tr w:rsidR="000E1865">
        <w:trPr>
          <w:trHeight w:val="315"/>
        </w:trPr>
        <w:tc>
          <w:tcPr>
            <w:tcW w:w="176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3 people </w:t>
            </w:r>
          </w:p>
        </w:tc>
        <w:tc>
          <w:tcPr>
            <w:tcW w:w="143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6.5 </w:t>
            </w:r>
          </w:p>
        </w:tc>
        <w:tc>
          <w:tcPr>
            <w:tcW w:w="1582"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16 </w:t>
            </w:r>
          </w:p>
        </w:tc>
        <w:tc>
          <w:tcPr>
            <w:tcW w:w="162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10 </w:t>
            </w:r>
          </w:p>
        </w:tc>
        <w:tc>
          <w:tcPr>
            <w:tcW w:w="153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13 </w:t>
            </w:r>
          </w:p>
        </w:tc>
        <w:tc>
          <w:tcPr>
            <w:tcW w:w="1418"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4.8 </w:t>
            </w:r>
          </w:p>
        </w:tc>
      </w:tr>
      <w:tr w:rsidR="000E1865">
        <w:trPr>
          <w:trHeight w:val="315"/>
        </w:trPr>
        <w:tc>
          <w:tcPr>
            <w:tcW w:w="176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4 people </w:t>
            </w:r>
          </w:p>
        </w:tc>
        <w:tc>
          <w:tcPr>
            <w:tcW w:w="143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7 </w:t>
            </w:r>
          </w:p>
        </w:tc>
        <w:tc>
          <w:tcPr>
            <w:tcW w:w="1582"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17 </w:t>
            </w:r>
          </w:p>
        </w:tc>
        <w:tc>
          <w:tcPr>
            <w:tcW w:w="162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11 </w:t>
            </w:r>
          </w:p>
        </w:tc>
        <w:tc>
          <w:tcPr>
            <w:tcW w:w="153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14 </w:t>
            </w:r>
          </w:p>
        </w:tc>
        <w:tc>
          <w:tcPr>
            <w:tcW w:w="1418"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5 </w:t>
            </w:r>
          </w:p>
        </w:tc>
      </w:tr>
      <w:tr w:rsidR="000E1865">
        <w:trPr>
          <w:trHeight w:val="315"/>
        </w:trPr>
        <w:tc>
          <w:tcPr>
            <w:tcW w:w="176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5 people </w:t>
            </w:r>
          </w:p>
        </w:tc>
        <w:tc>
          <w:tcPr>
            <w:tcW w:w="1433"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8 </w:t>
            </w:r>
          </w:p>
        </w:tc>
        <w:tc>
          <w:tcPr>
            <w:tcW w:w="1582"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19 </w:t>
            </w:r>
          </w:p>
        </w:tc>
        <w:tc>
          <w:tcPr>
            <w:tcW w:w="162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12 </w:t>
            </w:r>
          </w:p>
        </w:tc>
        <w:tc>
          <w:tcPr>
            <w:tcW w:w="1537"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15 </w:t>
            </w:r>
          </w:p>
        </w:tc>
        <w:tc>
          <w:tcPr>
            <w:tcW w:w="1418"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8 </w:t>
            </w:r>
          </w:p>
        </w:tc>
      </w:tr>
    </w:tbl>
    <w:p w:rsidR="000E1865" w:rsidRDefault="000E1865">
      <w:pPr>
        <w:pStyle w:val="normal0"/>
      </w:pPr>
    </w:p>
    <w:p w:rsidR="000E1865" w:rsidRDefault="00B51FCD">
      <w:pPr>
        <w:pStyle w:val="normal0"/>
      </w:pPr>
      <w:r>
        <w:t>Figure 9: Draft space standards for rooms within HMOs as indicated within the Leeds City Council draft SPD</w:t>
      </w:r>
    </w:p>
    <w:p w:rsidR="000E1865" w:rsidRDefault="000E1865">
      <w:pPr>
        <w:pStyle w:val="normal0"/>
      </w:pPr>
    </w:p>
    <w:p w:rsidR="000E1865" w:rsidRDefault="00B51FCD">
      <w:pPr>
        <w:pStyle w:val="normal0"/>
      </w:pPr>
      <w:r>
        <w:t xml:space="preserve"> </w:t>
      </w:r>
    </w:p>
    <w:p w:rsidR="000E1865" w:rsidRDefault="000E1865">
      <w:pPr>
        <w:pStyle w:val="normal0"/>
      </w:pPr>
    </w:p>
    <w:p w:rsidR="000E1865" w:rsidRDefault="000E1865">
      <w:pPr>
        <w:pStyle w:val="normal0"/>
      </w:pPr>
    </w:p>
    <w:p w:rsidR="000E1865" w:rsidRDefault="000E1865">
      <w:pPr>
        <w:pStyle w:val="normal0"/>
      </w:pPr>
    </w:p>
    <w:p w:rsidR="000E1865" w:rsidRDefault="000E1865">
      <w:pPr>
        <w:pStyle w:val="normal0"/>
      </w:pPr>
    </w:p>
    <w:p w:rsidR="000E1865" w:rsidRDefault="000E1865">
      <w:pPr>
        <w:pStyle w:val="normal0"/>
      </w:pPr>
    </w:p>
    <w:p w:rsidR="000E1865" w:rsidRDefault="000E1865">
      <w:pPr>
        <w:pStyle w:val="normal0"/>
      </w:pPr>
    </w:p>
    <w:p w:rsidR="000E1865" w:rsidRDefault="00B51FCD">
      <w:pPr>
        <w:pStyle w:val="normal0"/>
      </w:pPr>
      <w:r>
        <w:lastRenderedPageBreak/>
        <w:t>The draft SPD further details the intended minimum space ranges for bedrooms and shared internal spaces within new PBSA developments as show</w:t>
      </w:r>
      <w:r>
        <w:t xml:space="preserve">n below: </w:t>
      </w:r>
    </w:p>
    <w:p w:rsidR="000E1865" w:rsidRDefault="000E1865">
      <w:pPr>
        <w:pStyle w:val="normal0"/>
      </w:pPr>
    </w:p>
    <w:tbl>
      <w:tblPr>
        <w:tblStyle w:val="a6"/>
        <w:tblW w:w="9360"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Look w:val="0600"/>
      </w:tblPr>
      <w:tblGrid>
        <w:gridCol w:w="2707"/>
        <w:gridCol w:w="2781"/>
        <w:gridCol w:w="3872"/>
      </w:tblGrid>
      <w:tr w:rsidR="000E1865">
        <w:trPr>
          <w:trHeight w:val="600"/>
        </w:trPr>
        <w:tc>
          <w:tcPr>
            <w:tcW w:w="270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b/>
                <w:sz w:val="24"/>
                <w:szCs w:val="24"/>
              </w:rPr>
              <w:t>Room type</w:t>
            </w:r>
            <w:r>
              <w:rPr>
                <w:sz w:val="24"/>
                <w:szCs w:val="24"/>
              </w:rPr>
              <w:t xml:space="preserve"> </w:t>
            </w:r>
          </w:p>
        </w:tc>
        <w:tc>
          <w:tcPr>
            <w:tcW w:w="278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b/>
                <w:sz w:val="24"/>
                <w:szCs w:val="24"/>
              </w:rPr>
              <w:t>Bedroom size</w:t>
            </w:r>
            <w:r>
              <w:rPr>
                <w:sz w:val="24"/>
                <w:szCs w:val="24"/>
              </w:rPr>
              <w:t xml:space="preserve"> </w:t>
            </w:r>
          </w:p>
        </w:tc>
        <w:tc>
          <w:tcPr>
            <w:tcW w:w="3872"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b/>
                <w:sz w:val="24"/>
                <w:szCs w:val="24"/>
              </w:rPr>
              <w:t>Bathroom size (accounted for within room size</w:t>
            </w:r>
            <w:r>
              <w:rPr>
                <w:sz w:val="24"/>
                <w:szCs w:val="24"/>
              </w:rPr>
              <w:t xml:space="preserve"> </w:t>
            </w:r>
          </w:p>
        </w:tc>
      </w:tr>
      <w:tr w:rsidR="000E1865">
        <w:trPr>
          <w:trHeight w:val="600"/>
        </w:trPr>
        <w:tc>
          <w:tcPr>
            <w:tcW w:w="270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Cluster bedroom </w:t>
            </w:r>
          </w:p>
          <w:p w:rsidR="000E1865" w:rsidRDefault="00B51FCD">
            <w:pPr>
              <w:pStyle w:val="normal0"/>
              <w:rPr>
                <w:sz w:val="24"/>
                <w:szCs w:val="24"/>
              </w:rPr>
            </w:pPr>
            <w:r>
              <w:rPr>
                <w:sz w:val="24"/>
                <w:szCs w:val="24"/>
              </w:rPr>
              <w:t xml:space="preserve">Standard Room </w:t>
            </w:r>
          </w:p>
        </w:tc>
        <w:tc>
          <w:tcPr>
            <w:tcW w:w="278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11.5 - 14 </w:t>
            </w:r>
            <w:proofErr w:type="spellStart"/>
            <w:r>
              <w:rPr>
                <w:sz w:val="24"/>
                <w:szCs w:val="24"/>
              </w:rPr>
              <w:t>sqm</w:t>
            </w:r>
            <w:proofErr w:type="spellEnd"/>
            <w:r>
              <w:rPr>
                <w:sz w:val="24"/>
                <w:szCs w:val="24"/>
              </w:rPr>
              <w:t xml:space="preserve"> </w:t>
            </w:r>
          </w:p>
        </w:tc>
        <w:tc>
          <w:tcPr>
            <w:tcW w:w="3872"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3.4 </w:t>
            </w:r>
            <w:proofErr w:type="spellStart"/>
            <w:r>
              <w:rPr>
                <w:sz w:val="24"/>
                <w:szCs w:val="24"/>
              </w:rPr>
              <w:t>sqm</w:t>
            </w:r>
            <w:proofErr w:type="spellEnd"/>
            <w:r>
              <w:rPr>
                <w:sz w:val="24"/>
                <w:szCs w:val="24"/>
              </w:rPr>
              <w:t xml:space="preserve"> </w:t>
            </w:r>
          </w:p>
        </w:tc>
      </w:tr>
      <w:tr w:rsidR="000E1865">
        <w:trPr>
          <w:trHeight w:val="600"/>
        </w:trPr>
        <w:tc>
          <w:tcPr>
            <w:tcW w:w="270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Cluster bedroom  </w:t>
            </w:r>
          </w:p>
          <w:p w:rsidR="000E1865" w:rsidRDefault="00B51FCD">
            <w:pPr>
              <w:pStyle w:val="normal0"/>
              <w:rPr>
                <w:sz w:val="24"/>
                <w:szCs w:val="24"/>
              </w:rPr>
            </w:pPr>
            <w:r>
              <w:rPr>
                <w:sz w:val="24"/>
                <w:szCs w:val="24"/>
              </w:rPr>
              <w:t xml:space="preserve">Accessible Room </w:t>
            </w:r>
          </w:p>
        </w:tc>
        <w:tc>
          <w:tcPr>
            <w:tcW w:w="278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18 – 22 </w:t>
            </w:r>
            <w:proofErr w:type="spellStart"/>
            <w:r>
              <w:rPr>
                <w:sz w:val="24"/>
                <w:szCs w:val="24"/>
              </w:rPr>
              <w:t>sqm</w:t>
            </w:r>
            <w:proofErr w:type="spellEnd"/>
            <w:r>
              <w:rPr>
                <w:sz w:val="24"/>
                <w:szCs w:val="24"/>
              </w:rPr>
              <w:t xml:space="preserve"> </w:t>
            </w:r>
          </w:p>
        </w:tc>
        <w:tc>
          <w:tcPr>
            <w:tcW w:w="3872"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4.8 </w:t>
            </w:r>
            <w:proofErr w:type="spellStart"/>
            <w:r>
              <w:rPr>
                <w:sz w:val="24"/>
                <w:szCs w:val="24"/>
              </w:rPr>
              <w:t>sqm</w:t>
            </w:r>
            <w:proofErr w:type="spellEnd"/>
            <w:r>
              <w:rPr>
                <w:sz w:val="24"/>
                <w:szCs w:val="24"/>
              </w:rPr>
              <w:t xml:space="preserve"> </w:t>
            </w:r>
          </w:p>
        </w:tc>
      </w:tr>
      <w:tr w:rsidR="000E1865">
        <w:trPr>
          <w:trHeight w:val="315"/>
        </w:trPr>
        <w:tc>
          <w:tcPr>
            <w:tcW w:w="270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Studio </w:t>
            </w:r>
          </w:p>
        </w:tc>
        <w:tc>
          <w:tcPr>
            <w:tcW w:w="278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20 – 28 </w:t>
            </w:r>
            <w:proofErr w:type="spellStart"/>
            <w:r>
              <w:rPr>
                <w:sz w:val="24"/>
                <w:szCs w:val="24"/>
              </w:rPr>
              <w:t>sqm</w:t>
            </w:r>
            <w:proofErr w:type="spellEnd"/>
            <w:r>
              <w:rPr>
                <w:sz w:val="24"/>
                <w:szCs w:val="24"/>
              </w:rPr>
              <w:t xml:space="preserve"> </w:t>
            </w:r>
          </w:p>
        </w:tc>
        <w:tc>
          <w:tcPr>
            <w:tcW w:w="3872"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3.4 </w:t>
            </w:r>
            <w:proofErr w:type="spellStart"/>
            <w:r>
              <w:rPr>
                <w:sz w:val="24"/>
                <w:szCs w:val="24"/>
              </w:rPr>
              <w:t>sqm</w:t>
            </w:r>
            <w:proofErr w:type="spellEnd"/>
            <w:r>
              <w:rPr>
                <w:sz w:val="24"/>
                <w:szCs w:val="24"/>
              </w:rPr>
              <w:t xml:space="preserve"> </w:t>
            </w:r>
          </w:p>
        </w:tc>
      </w:tr>
      <w:tr w:rsidR="000E1865">
        <w:trPr>
          <w:trHeight w:val="315"/>
        </w:trPr>
        <w:tc>
          <w:tcPr>
            <w:tcW w:w="2706"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Accessible Studio </w:t>
            </w:r>
          </w:p>
        </w:tc>
        <w:tc>
          <w:tcPr>
            <w:tcW w:w="2781"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22 – 30 </w:t>
            </w:r>
            <w:proofErr w:type="spellStart"/>
            <w:r>
              <w:rPr>
                <w:sz w:val="24"/>
                <w:szCs w:val="24"/>
              </w:rPr>
              <w:t>sqm</w:t>
            </w:r>
            <w:proofErr w:type="spellEnd"/>
            <w:r>
              <w:rPr>
                <w:sz w:val="24"/>
                <w:szCs w:val="24"/>
              </w:rPr>
              <w:t xml:space="preserve"> </w:t>
            </w:r>
          </w:p>
        </w:tc>
        <w:tc>
          <w:tcPr>
            <w:tcW w:w="3872"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4.8 </w:t>
            </w:r>
            <w:proofErr w:type="spellStart"/>
            <w:r>
              <w:rPr>
                <w:sz w:val="24"/>
                <w:szCs w:val="24"/>
              </w:rPr>
              <w:t>sqm</w:t>
            </w:r>
            <w:proofErr w:type="spellEnd"/>
            <w:r>
              <w:rPr>
                <w:sz w:val="24"/>
                <w:szCs w:val="24"/>
              </w:rPr>
              <w:t xml:space="preserve"> </w:t>
            </w:r>
          </w:p>
        </w:tc>
      </w:tr>
    </w:tbl>
    <w:p w:rsidR="000E1865" w:rsidRDefault="000E1865">
      <w:pPr>
        <w:pStyle w:val="normal0"/>
      </w:pPr>
    </w:p>
    <w:p w:rsidR="000E1865" w:rsidRDefault="00B51FCD">
      <w:pPr>
        <w:pStyle w:val="normal0"/>
      </w:pPr>
      <w:r>
        <w:t>Figure 10: Draft minimum space ranges for new PBSA developments as indicated within the Leeds City Council draft SPD</w:t>
      </w:r>
    </w:p>
    <w:p w:rsidR="000E1865" w:rsidRDefault="000E1865">
      <w:pPr>
        <w:pStyle w:val="normal0"/>
      </w:pPr>
    </w:p>
    <w:p w:rsidR="000E1865" w:rsidRDefault="00B51FCD">
      <w:pPr>
        <w:pStyle w:val="normal0"/>
      </w:pPr>
      <w:r>
        <w:t xml:space="preserve"> </w:t>
      </w:r>
    </w:p>
    <w:tbl>
      <w:tblPr>
        <w:tblStyle w:val="a7"/>
        <w:tblW w:w="6240"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Look w:val="0600"/>
      </w:tblPr>
      <w:tblGrid>
        <w:gridCol w:w="3120"/>
        <w:gridCol w:w="3120"/>
      </w:tblGrid>
      <w:tr w:rsidR="000E1865">
        <w:trPr>
          <w:trHeight w:val="600"/>
        </w:trPr>
        <w:tc>
          <w:tcPr>
            <w:tcW w:w="312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b/>
                <w:sz w:val="24"/>
                <w:szCs w:val="24"/>
              </w:rPr>
              <w:t>Cluster Flat Size (beds)</w:t>
            </w:r>
            <w:r>
              <w:rPr>
                <w:sz w:val="24"/>
                <w:szCs w:val="24"/>
              </w:rPr>
              <w:t xml:space="preserve"> </w:t>
            </w:r>
          </w:p>
        </w:tc>
        <w:tc>
          <w:tcPr>
            <w:tcW w:w="312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b/>
                <w:sz w:val="24"/>
                <w:szCs w:val="24"/>
              </w:rPr>
              <w:t>Shared Internal Space (Kitchen/living/dining)</w:t>
            </w:r>
            <w:r>
              <w:rPr>
                <w:sz w:val="24"/>
                <w:szCs w:val="24"/>
              </w:rPr>
              <w:t xml:space="preserve"> </w:t>
            </w:r>
          </w:p>
        </w:tc>
      </w:tr>
      <w:tr w:rsidR="000E1865">
        <w:trPr>
          <w:trHeight w:val="315"/>
        </w:trPr>
        <w:tc>
          <w:tcPr>
            <w:tcW w:w="312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3 </w:t>
            </w:r>
          </w:p>
        </w:tc>
        <w:tc>
          <w:tcPr>
            <w:tcW w:w="312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26 </w:t>
            </w:r>
            <w:proofErr w:type="spellStart"/>
            <w:r>
              <w:rPr>
                <w:sz w:val="24"/>
                <w:szCs w:val="24"/>
              </w:rPr>
              <w:t>sqm</w:t>
            </w:r>
            <w:proofErr w:type="spellEnd"/>
            <w:r>
              <w:rPr>
                <w:sz w:val="24"/>
                <w:szCs w:val="24"/>
              </w:rPr>
              <w:t xml:space="preserve"> </w:t>
            </w:r>
          </w:p>
        </w:tc>
      </w:tr>
      <w:tr w:rsidR="000E1865">
        <w:trPr>
          <w:trHeight w:val="315"/>
        </w:trPr>
        <w:tc>
          <w:tcPr>
            <w:tcW w:w="312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4 </w:t>
            </w:r>
          </w:p>
        </w:tc>
        <w:tc>
          <w:tcPr>
            <w:tcW w:w="312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28 </w:t>
            </w:r>
            <w:proofErr w:type="spellStart"/>
            <w:r>
              <w:rPr>
                <w:sz w:val="24"/>
                <w:szCs w:val="24"/>
              </w:rPr>
              <w:t>sqm</w:t>
            </w:r>
            <w:proofErr w:type="spellEnd"/>
            <w:r>
              <w:rPr>
                <w:sz w:val="24"/>
                <w:szCs w:val="24"/>
              </w:rPr>
              <w:t xml:space="preserve"> </w:t>
            </w:r>
          </w:p>
        </w:tc>
      </w:tr>
      <w:tr w:rsidR="000E1865">
        <w:trPr>
          <w:trHeight w:val="315"/>
        </w:trPr>
        <w:tc>
          <w:tcPr>
            <w:tcW w:w="312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5 </w:t>
            </w:r>
          </w:p>
        </w:tc>
        <w:tc>
          <w:tcPr>
            <w:tcW w:w="312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30 </w:t>
            </w:r>
            <w:proofErr w:type="spellStart"/>
            <w:r>
              <w:rPr>
                <w:sz w:val="24"/>
                <w:szCs w:val="24"/>
              </w:rPr>
              <w:t>sqm</w:t>
            </w:r>
            <w:proofErr w:type="spellEnd"/>
            <w:r>
              <w:rPr>
                <w:sz w:val="24"/>
                <w:szCs w:val="24"/>
              </w:rPr>
              <w:t xml:space="preserve"> </w:t>
            </w:r>
          </w:p>
        </w:tc>
      </w:tr>
      <w:tr w:rsidR="000E1865">
        <w:trPr>
          <w:trHeight w:val="315"/>
        </w:trPr>
        <w:tc>
          <w:tcPr>
            <w:tcW w:w="312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6 </w:t>
            </w:r>
          </w:p>
        </w:tc>
        <w:tc>
          <w:tcPr>
            <w:tcW w:w="312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32 </w:t>
            </w:r>
            <w:proofErr w:type="spellStart"/>
            <w:r>
              <w:rPr>
                <w:sz w:val="24"/>
                <w:szCs w:val="24"/>
              </w:rPr>
              <w:t>sqm</w:t>
            </w:r>
            <w:proofErr w:type="spellEnd"/>
            <w:r>
              <w:rPr>
                <w:sz w:val="24"/>
                <w:szCs w:val="24"/>
              </w:rPr>
              <w:t xml:space="preserve"> </w:t>
            </w:r>
          </w:p>
        </w:tc>
      </w:tr>
      <w:tr w:rsidR="000E1865">
        <w:trPr>
          <w:trHeight w:val="315"/>
        </w:trPr>
        <w:tc>
          <w:tcPr>
            <w:tcW w:w="312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7 </w:t>
            </w:r>
          </w:p>
        </w:tc>
        <w:tc>
          <w:tcPr>
            <w:tcW w:w="312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34 </w:t>
            </w:r>
            <w:proofErr w:type="spellStart"/>
            <w:r>
              <w:rPr>
                <w:sz w:val="24"/>
                <w:szCs w:val="24"/>
              </w:rPr>
              <w:t>sqm</w:t>
            </w:r>
            <w:proofErr w:type="spellEnd"/>
            <w:r>
              <w:rPr>
                <w:sz w:val="24"/>
                <w:szCs w:val="24"/>
              </w:rPr>
              <w:t xml:space="preserve"> </w:t>
            </w:r>
          </w:p>
        </w:tc>
      </w:tr>
      <w:tr w:rsidR="000E1865">
        <w:trPr>
          <w:trHeight w:val="315"/>
        </w:trPr>
        <w:tc>
          <w:tcPr>
            <w:tcW w:w="312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8 </w:t>
            </w:r>
          </w:p>
        </w:tc>
        <w:tc>
          <w:tcPr>
            <w:tcW w:w="312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36 </w:t>
            </w:r>
            <w:proofErr w:type="spellStart"/>
            <w:r>
              <w:rPr>
                <w:sz w:val="24"/>
                <w:szCs w:val="24"/>
              </w:rPr>
              <w:t>sqm</w:t>
            </w:r>
            <w:proofErr w:type="spellEnd"/>
            <w:r>
              <w:rPr>
                <w:sz w:val="24"/>
                <w:szCs w:val="24"/>
              </w:rPr>
              <w:t xml:space="preserve"> </w:t>
            </w:r>
          </w:p>
        </w:tc>
      </w:tr>
    </w:tbl>
    <w:p w:rsidR="000E1865" w:rsidRDefault="000E1865">
      <w:pPr>
        <w:pStyle w:val="normal0"/>
      </w:pPr>
    </w:p>
    <w:p w:rsidR="000E1865" w:rsidRDefault="00B51FCD">
      <w:pPr>
        <w:pStyle w:val="normal0"/>
      </w:pPr>
      <w:r>
        <w:t>Figure 11: Draft minimum room sizes for new PBSA developments as indicated within the Leeds City Council draft SPD</w:t>
      </w:r>
    </w:p>
    <w:p w:rsidR="000E1865" w:rsidRDefault="000E1865">
      <w:pPr>
        <w:pStyle w:val="normal0"/>
      </w:pPr>
    </w:p>
    <w:p w:rsidR="000E1865" w:rsidRDefault="00B51FCD">
      <w:pPr>
        <w:pStyle w:val="normal0"/>
      </w:pPr>
      <w:r>
        <w:t xml:space="preserve"> </w:t>
      </w:r>
    </w:p>
    <w:p w:rsidR="000E1865" w:rsidRDefault="000E1865">
      <w:pPr>
        <w:pStyle w:val="normal0"/>
      </w:pPr>
    </w:p>
    <w:p w:rsidR="000E1865" w:rsidRDefault="00B51FCD">
      <w:pPr>
        <w:pStyle w:val="normal0"/>
      </w:pPr>
      <w:r>
        <w:t xml:space="preserve"> </w:t>
      </w:r>
    </w:p>
    <w:p w:rsidR="000E1865" w:rsidRDefault="000E1865">
      <w:pPr>
        <w:pStyle w:val="normal0"/>
      </w:pPr>
    </w:p>
    <w:p w:rsidR="000E1865" w:rsidRDefault="00B51FCD">
      <w:pPr>
        <w:pStyle w:val="normal0"/>
      </w:pPr>
      <w:r>
        <w:t xml:space="preserve"> </w:t>
      </w:r>
    </w:p>
    <w:p w:rsidR="000E1865" w:rsidRDefault="000E1865">
      <w:pPr>
        <w:pStyle w:val="normal0"/>
      </w:pPr>
    </w:p>
    <w:p w:rsidR="000E1865" w:rsidRDefault="00B51FCD">
      <w:pPr>
        <w:pStyle w:val="normal0"/>
      </w:pPr>
      <w:r>
        <w:t xml:space="preserve"> </w:t>
      </w:r>
    </w:p>
    <w:p w:rsidR="000E1865" w:rsidRDefault="000E1865">
      <w:pPr>
        <w:pStyle w:val="normal0"/>
      </w:pPr>
    </w:p>
    <w:p w:rsidR="000E1865" w:rsidRDefault="00B51FCD">
      <w:pPr>
        <w:pStyle w:val="normal0"/>
      </w:pPr>
      <w:r>
        <w:t xml:space="preserve"> </w:t>
      </w:r>
      <w:r>
        <w:br w:type="page"/>
      </w:r>
    </w:p>
    <w:p w:rsidR="000E1865" w:rsidRDefault="00B51FCD">
      <w:pPr>
        <w:pStyle w:val="normal0"/>
        <w:rPr>
          <w:b/>
        </w:rPr>
      </w:pPr>
      <w:r>
        <w:rPr>
          <w:b/>
        </w:rPr>
        <w:lastRenderedPageBreak/>
        <w:t xml:space="preserve">5. What is the stance of major student accommodation providers? </w:t>
      </w:r>
    </w:p>
    <w:p w:rsidR="000E1865" w:rsidRDefault="000E1865">
      <w:pPr>
        <w:pStyle w:val="normal0"/>
      </w:pPr>
    </w:p>
    <w:p w:rsidR="000E1865" w:rsidRDefault="00B51FCD">
      <w:pPr>
        <w:pStyle w:val="normal0"/>
      </w:pPr>
      <w:r>
        <w:t xml:space="preserve">Student accommodation provider </w:t>
      </w:r>
      <w:proofErr w:type="spellStart"/>
      <w:r>
        <w:t>Unipol</w:t>
      </w:r>
      <w:proofErr w:type="spellEnd"/>
      <w:r>
        <w:t xml:space="preserve"> advises that bedrooms should be 8m2 or more in accredited properties in order to accommodate the required furniture. However, this figure is not specified within the </w:t>
      </w:r>
      <w:proofErr w:type="spellStart"/>
      <w:r>
        <w:t>Unipol</w:t>
      </w:r>
      <w:proofErr w:type="spellEnd"/>
      <w:r>
        <w:t xml:space="preserve"> Code for Shared Student Housing in the Privat</w:t>
      </w:r>
      <w:r>
        <w:t xml:space="preserve">e Sector of Leeds document, covering the period 2021-2024.  </w:t>
      </w:r>
    </w:p>
    <w:p w:rsidR="000E1865" w:rsidRDefault="000E1865">
      <w:pPr>
        <w:pStyle w:val="normal0"/>
      </w:pPr>
    </w:p>
    <w:p w:rsidR="000E1865" w:rsidRDefault="00B51FCD">
      <w:pPr>
        <w:pStyle w:val="normal0"/>
      </w:pPr>
      <w:r>
        <w:t xml:space="preserve">In addition, the ANUK National Codes for accommodation do not specify a minimum figure for space standards, simply stating that: </w:t>
      </w:r>
    </w:p>
    <w:p w:rsidR="000E1865" w:rsidRDefault="000E1865">
      <w:pPr>
        <w:pStyle w:val="normal0"/>
      </w:pPr>
    </w:p>
    <w:p w:rsidR="000E1865" w:rsidRDefault="00B51FCD">
      <w:pPr>
        <w:pStyle w:val="normal0"/>
      </w:pPr>
      <w:r>
        <w:rPr>
          <w:i/>
        </w:rPr>
        <w:t>“All occupants are provided with appropriate facilities within their rooms (or in self-contained adjoining areas) including a bed, storage space for clothes and personal effects, curtains, blinds or other methods to provide adequate privacy and an area equ</w:t>
      </w:r>
      <w:r>
        <w:rPr>
          <w:i/>
        </w:rPr>
        <w:t xml:space="preserve">ipped for study purposes.” </w:t>
      </w:r>
      <w:proofErr w:type="gramStart"/>
      <w:r>
        <w:t>(ANUK, 2019).</w:t>
      </w:r>
      <w:proofErr w:type="gramEnd"/>
      <w:r>
        <w:t xml:space="preserve">  </w:t>
      </w:r>
    </w:p>
    <w:p w:rsidR="000E1865" w:rsidRDefault="000E1865">
      <w:pPr>
        <w:pStyle w:val="normal0"/>
      </w:pPr>
    </w:p>
    <w:p w:rsidR="000E1865" w:rsidRDefault="00B51FCD">
      <w:pPr>
        <w:pStyle w:val="normal0"/>
      </w:pPr>
      <w:r>
        <w:t xml:space="preserve">Therefore, aside from the requirements of properties subject to a local Council HMO licence, student accommodation is not currently required to meet specified space standards, locally or nationwide. </w:t>
      </w:r>
    </w:p>
    <w:p w:rsidR="000E1865" w:rsidRDefault="000E1865">
      <w:pPr>
        <w:pStyle w:val="normal0"/>
      </w:pPr>
    </w:p>
    <w:p w:rsidR="000E1865" w:rsidRDefault="00B51FCD">
      <w:pPr>
        <w:pStyle w:val="normal0"/>
      </w:pPr>
      <w:r>
        <w:t xml:space="preserve"> </w:t>
      </w:r>
    </w:p>
    <w:p w:rsidR="000E1865" w:rsidRDefault="00B51FCD">
      <w:pPr>
        <w:pStyle w:val="normal0"/>
      </w:pPr>
      <w:r>
        <w:t>The below</w:t>
      </w:r>
      <w:r>
        <w:t xml:space="preserve"> table provides details of costs of renting PBSA in the Little Woodhouse area:</w:t>
      </w:r>
    </w:p>
    <w:p w:rsidR="000E1865" w:rsidRDefault="00B51FCD">
      <w:pPr>
        <w:pStyle w:val="normal0"/>
      </w:pPr>
      <w:r>
        <w:t xml:space="preserve"> </w:t>
      </w:r>
    </w:p>
    <w:tbl>
      <w:tblPr>
        <w:tblStyle w:val="a8"/>
        <w:tblW w:w="7875"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Look w:val="0600"/>
      </w:tblPr>
      <w:tblGrid>
        <w:gridCol w:w="1575"/>
        <w:gridCol w:w="1575"/>
        <w:gridCol w:w="1575"/>
        <w:gridCol w:w="1575"/>
        <w:gridCol w:w="1575"/>
      </w:tblGrid>
      <w:tr w:rsidR="000E1865">
        <w:trPr>
          <w:trHeight w:val="885"/>
        </w:trPr>
        <w:tc>
          <w:tcPr>
            <w:tcW w:w="157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widowControl w:val="0"/>
              <w:pBdr>
                <w:top w:val="nil"/>
                <w:left w:val="nil"/>
                <w:bottom w:val="nil"/>
                <w:right w:val="nil"/>
                <w:between w:val="nil"/>
              </w:pBdr>
              <w:rPr>
                <w:sz w:val="24"/>
                <w:szCs w:val="24"/>
              </w:rPr>
            </w:pPr>
            <w:r>
              <w:rPr>
                <w:sz w:val="24"/>
                <w:szCs w:val="24"/>
              </w:rPr>
              <w:t xml:space="preserve"> </w:t>
            </w:r>
          </w:p>
        </w:tc>
        <w:tc>
          <w:tcPr>
            <w:tcW w:w="157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Type of Room </w:t>
            </w:r>
          </w:p>
        </w:tc>
        <w:tc>
          <w:tcPr>
            <w:tcW w:w="157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b/>
                <w:sz w:val="24"/>
                <w:szCs w:val="24"/>
              </w:rPr>
              <w:t>Cost Per Week (£)</w:t>
            </w:r>
            <w:r>
              <w:rPr>
                <w:sz w:val="24"/>
                <w:szCs w:val="24"/>
              </w:rPr>
              <w:t xml:space="preserve"> </w:t>
            </w:r>
          </w:p>
        </w:tc>
        <w:tc>
          <w:tcPr>
            <w:tcW w:w="157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b/>
                <w:sz w:val="24"/>
                <w:szCs w:val="24"/>
              </w:rPr>
              <w:t>Cost Per Month (£)</w:t>
            </w:r>
            <w:r>
              <w:rPr>
                <w:sz w:val="24"/>
                <w:szCs w:val="24"/>
              </w:rPr>
              <w:t xml:space="preserve"> </w:t>
            </w:r>
          </w:p>
        </w:tc>
        <w:tc>
          <w:tcPr>
            <w:tcW w:w="157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b/>
                <w:sz w:val="24"/>
                <w:szCs w:val="24"/>
              </w:rPr>
              <w:t>Cost Per Contract (£)</w:t>
            </w:r>
            <w:r>
              <w:rPr>
                <w:sz w:val="24"/>
                <w:szCs w:val="24"/>
              </w:rPr>
              <w:t xml:space="preserve"> </w:t>
            </w:r>
          </w:p>
        </w:tc>
      </w:tr>
      <w:tr w:rsidR="000E1865">
        <w:trPr>
          <w:trHeight w:val="600"/>
        </w:trPr>
        <w:tc>
          <w:tcPr>
            <w:tcW w:w="157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b/>
                <w:sz w:val="24"/>
                <w:szCs w:val="24"/>
              </w:rPr>
              <w:t>IQ Marsden House</w:t>
            </w:r>
            <w:r>
              <w:rPr>
                <w:sz w:val="24"/>
                <w:szCs w:val="24"/>
              </w:rPr>
              <w:t xml:space="preserve"> </w:t>
            </w:r>
          </w:p>
        </w:tc>
        <w:tc>
          <w:tcPr>
            <w:tcW w:w="157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Silver En Suite </w:t>
            </w:r>
          </w:p>
        </w:tc>
        <w:tc>
          <w:tcPr>
            <w:tcW w:w="157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195 </w:t>
            </w:r>
          </w:p>
        </w:tc>
        <w:tc>
          <w:tcPr>
            <w:tcW w:w="157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780 </w:t>
            </w:r>
          </w:p>
        </w:tc>
        <w:tc>
          <w:tcPr>
            <w:tcW w:w="157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9360 </w:t>
            </w:r>
          </w:p>
        </w:tc>
      </w:tr>
      <w:tr w:rsidR="000E1865">
        <w:trPr>
          <w:trHeight w:val="600"/>
        </w:trPr>
        <w:tc>
          <w:tcPr>
            <w:tcW w:w="157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b/>
                <w:sz w:val="24"/>
                <w:szCs w:val="24"/>
              </w:rPr>
              <w:t>Oak House</w:t>
            </w:r>
            <w:r>
              <w:rPr>
                <w:sz w:val="24"/>
                <w:szCs w:val="24"/>
              </w:rPr>
              <w:t xml:space="preserve"> </w:t>
            </w:r>
          </w:p>
        </w:tc>
        <w:tc>
          <w:tcPr>
            <w:tcW w:w="157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One room in 6 bed flat </w:t>
            </w:r>
          </w:p>
        </w:tc>
        <w:tc>
          <w:tcPr>
            <w:tcW w:w="157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155 </w:t>
            </w:r>
          </w:p>
        </w:tc>
        <w:tc>
          <w:tcPr>
            <w:tcW w:w="157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620 </w:t>
            </w:r>
          </w:p>
        </w:tc>
        <w:tc>
          <w:tcPr>
            <w:tcW w:w="157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7440 </w:t>
            </w:r>
          </w:p>
        </w:tc>
      </w:tr>
      <w:tr w:rsidR="000E1865">
        <w:trPr>
          <w:trHeight w:val="885"/>
        </w:trPr>
        <w:tc>
          <w:tcPr>
            <w:tcW w:w="157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b/>
                <w:sz w:val="24"/>
                <w:szCs w:val="24"/>
              </w:rPr>
              <w:t>Henry Price Residences</w:t>
            </w:r>
            <w:r>
              <w:rPr>
                <w:sz w:val="24"/>
                <w:szCs w:val="24"/>
              </w:rPr>
              <w:t xml:space="preserve"> </w:t>
            </w:r>
          </w:p>
        </w:tc>
        <w:tc>
          <w:tcPr>
            <w:tcW w:w="157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Self-catered en suite </w:t>
            </w:r>
          </w:p>
        </w:tc>
        <w:tc>
          <w:tcPr>
            <w:tcW w:w="157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161 </w:t>
            </w:r>
          </w:p>
        </w:tc>
        <w:tc>
          <w:tcPr>
            <w:tcW w:w="157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644 </w:t>
            </w:r>
          </w:p>
        </w:tc>
        <w:tc>
          <w:tcPr>
            <w:tcW w:w="157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rsidR="000E1865" w:rsidRDefault="00B51FCD">
            <w:pPr>
              <w:pStyle w:val="normal0"/>
              <w:rPr>
                <w:sz w:val="24"/>
                <w:szCs w:val="24"/>
              </w:rPr>
            </w:pPr>
            <w:r>
              <w:rPr>
                <w:sz w:val="24"/>
                <w:szCs w:val="24"/>
              </w:rPr>
              <w:t xml:space="preserve">6,762 </w:t>
            </w:r>
          </w:p>
        </w:tc>
      </w:tr>
    </w:tbl>
    <w:p w:rsidR="000E1865" w:rsidRDefault="000E1865">
      <w:pPr>
        <w:pStyle w:val="normal0"/>
      </w:pPr>
    </w:p>
    <w:p w:rsidR="000E1865" w:rsidRDefault="00B51FCD">
      <w:pPr>
        <w:pStyle w:val="normal0"/>
      </w:pPr>
      <w:r>
        <w:t xml:space="preserve">Figure 12: Average Cost of Renting PBSA in Little Woodhouse  </w:t>
      </w:r>
    </w:p>
    <w:p w:rsidR="000E1865" w:rsidRDefault="000E1865">
      <w:pPr>
        <w:pStyle w:val="normal0"/>
      </w:pPr>
    </w:p>
    <w:p w:rsidR="000E1865" w:rsidRDefault="00B51FCD">
      <w:pPr>
        <w:pStyle w:val="normal0"/>
      </w:pPr>
      <w:r>
        <w:t xml:space="preserve"> </w:t>
      </w:r>
    </w:p>
    <w:p w:rsidR="000E1865" w:rsidRDefault="000E1865">
      <w:pPr>
        <w:pStyle w:val="normal0"/>
      </w:pPr>
    </w:p>
    <w:p w:rsidR="000E1865" w:rsidRDefault="00B51FCD">
      <w:pPr>
        <w:pStyle w:val="normal0"/>
      </w:pPr>
      <w:r>
        <w:t xml:space="preserve"> </w:t>
      </w:r>
    </w:p>
    <w:p w:rsidR="000E1865" w:rsidRDefault="00B51FCD">
      <w:pPr>
        <w:pStyle w:val="normal0"/>
      </w:pPr>
      <w:r>
        <w:t xml:space="preserve"> </w:t>
      </w:r>
    </w:p>
    <w:p w:rsidR="000E1865" w:rsidRDefault="000E1865">
      <w:pPr>
        <w:pStyle w:val="normal0"/>
      </w:pPr>
    </w:p>
    <w:p w:rsidR="000E1865" w:rsidRDefault="00B51FCD">
      <w:pPr>
        <w:pStyle w:val="normal0"/>
        <w:rPr>
          <w:b/>
        </w:rPr>
      </w:pPr>
      <w:r>
        <w:br w:type="page"/>
      </w:r>
    </w:p>
    <w:p w:rsidR="000E1865" w:rsidRDefault="00B51FCD">
      <w:pPr>
        <w:pStyle w:val="normal0"/>
        <w:rPr>
          <w:b/>
        </w:rPr>
      </w:pPr>
      <w:r>
        <w:rPr>
          <w:b/>
        </w:rPr>
        <w:lastRenderedPageBreak/>
        <w:t xml:space="preserve">6. Importance of space standards for student accommodation </w:t>
      </w:r>
    </w:p>
    <w:p w:rsidR="000E1865" w:rsidRDefault="000E1865">
      <w:pPr>
        <w:pStyle w:val="normal0"/>
      </w:pPr>
    </w:p>
    <w:p w:rsidR="000E1865" w:rsidRDefault="00B51FCD">
      <w:pPr>
        <w:pStyle w:val="normal0"/>
        <w:rPr>
          <w:u w:val="single"/>
        </w:rPr>
      </w:pPr>
      <w:r>
        <w:rPr>
          <w:u w:val="single"/>
        </w:rPr>
        <w:t xml:space="preserve">Mental Health </w:t>
      </w:r>
    </w:p>
    <w:p w:rsidR="000E1865" w:rsidRDefault="000E1865">
      <w:pPr>
        <w:pStyle w:val="normal0"/>
      </w:pPr>
    </w:p>
    <w:p w:rsidR="000E1865" w:rsidRDefault="00B51FCD">
      <w:pPr>
        <w:pStyle w:val="normal0"/>
      </w:pPr>
      <w:r>
        <w:t xml:space="preserve">As discussed earlier in the report, space standards are not just a contemporary problem, they have a history that dates back over 100 years (Carmona, </w:t>
      </w:r>
      <w:proofErr w:type="spellStart"/>
      <w:r>
        <w:t>Gallent</w:t>
      </w:r>
      <w:proofErr w:type="spellEnd"/>
      <w:r>
        <w:t xml:space="preserve"> and </w:t>
      </w:r>
      <w:proofErr w:type="spellStart"/>
      <w:r>
        <w:t>Sarkar</w:t>
      </w:r>
      <w:proofErr w:type="spellEnd"/>
      <w:r>
        <w:t>, 2010). The NPPF (paragraph 62) states that “the size, type and tenure of housing neede</w:t>
      </w:r>
      <w:r>
        <w:t xml:space="preserve">d for different groups in the community should be assessed and reflected in planning policies”, showing a clear need for students to be treated as a </w:t>
      </w:r>
      <w:proofErr w:type="spellStart"/>
      <w:r>
        <w:t>stand alone</w:t>
      </w:r>
      <w:proofErr w:type="spellEnd"/>
      <w:r>
        <w:t xml:space="preserve"> group with their own needs. More and more of Britain’s housing stock is known as ‘shoebox homes</w:t>
      </w:r>
      <w:r>
        <w:t xml:space="preserve">’ and the UK has the smallest </w:t>
      </w:r>
      <w:proofErr w:type="spellStart"/>
      <w:r>
        <w:t>newbuild</w:t>
      </w:r>
      <w:proofErr w:type="spellEnd"/>
      <w:r>
        <w:t xml:space="preserve"> size in Europe (76 </w:t>
      </w:r>
      <w:proofErr w:type="spellStart"/>
      <w:r>
        <w:t>sqm</w:t>
      </w:r>
      <w:proofErr w:type="spellEnd"/>
      <w:r>
        <w:t>), compared to Danish homes which are double the size. Standards and ideals get blurred in vicious economic cycles, as rules get relaxed to enable more building and development, and loopholes are</w:t>
      </w:r>
      <w:r>
        <w:t xml:space="preserve"> found (</w:t>
      </w:r>
      <w:proofErr w:type="spellStart"/>
      <w:r>
        <w:t>Usborne</w:t>
      </w:r>
      <w:proofErr w:type="spellEnd"/>
      <w:r>
        <w:t xml:space="preserve">, 2018). Good quality, affordable and safe housing is vital to good mental health (Mental Health Foundation, 2021). Mental health is important, as it impacts every aspect of how an individual interacts with the world, how they feel and act, </w:t>
      </w:r>
      <w:r>
        <w:t xml:space="preserve">how they relate to others and what choices they make (The Wave Clinic, 2023). </w:t>
      </w:r>
    </w:p>
    <w:p w:rsidR="000E1865" w:rsidRDefault="000E1865">
      <w:pPr>
        <w:pStyle w:val="normal0"/>
      </w:pPr>
    </w:p>
    <w:p w:rsidR="000E1865" w:rsidRDefault="00B51FCD">
      <w:pPr>
        <w:pStyle w:val="normal0"/>
      </w:pPr>
      <w:r>
        <w:t>Although students have no universal space standards, they arguably spend more time in their bedrooms and accommodation than the average person. A study of 1000 students found t</w:t>
      </w:r>
      <w:r>
        <w:t>hat on average, students spend 13 out of 24 hours a day in their bedrooms, and most (73%) prefer to study in their bedroom than on campus or in public places (FE News, 2022). Therefore, students deserve at least the same, if not more space than the average</w:t>
      </w:r>
      <w:r>
        <w:t xml:space="preserve"> person. Moreover, this time will have almost certainly increased during the COVID-19 pandemic.  </w:t>
      </w:r>
    </w:p>
    <w:p w:rsidR="000E1865" w:rsidRDefault="000E1865">
      <w:pPr>
        <w:pStyle w:val="normal0"/>
      </w:pPr>
    </w:p>
    <w:p w:rsidR="000E1865" w:rsidRDefault="00B51FCD">
      <w:pPr>
        <w:pStyle w:val="normal0"/>
      </w:pPr>
      <w:r>
        <w:t>There is a wealth of information and research that links lack of space to negative consequences. In the most extreme cases, lack of space has negative impact</w:t>
      </w:r>
      <w:r>
        <w:t>s on health, development and social relationships, said to cost the NHS 2.5 billion pounds every year (Lee, 2021). In general, living in overcrowded accommodations has consequences for the entire population, not just students. Lynch and Stewart (2018, p.21</w:t>
      </w:r>
      <w:r>
        <w:t xml:space="preserve">) suggest that “living in overcrowded housing has been shown to have multiple effects on both mental and physical health, with long-term negative effects”. Additionally, studies have linked overcrowding to slower growth in children and can impact on their </w:t>
      </w:r>
      <w:r>
        <w:t>educational achievements and social development. Finally, overcrowded conditions have been associated with mental health problems, including depression in adults. In support of this, Kearns (2022) discusses how evidence shows an association between overcro</w:t>
      </w:r>
      <w:r>
        <w:t xml:space="preserve">wding, mental health problems and sleep disorders, and how these conditions can lead to psychological distress. When combined with the fact that students spend a substantial amount of time indoors, these impacts are significant.  </w:t>
      </w:r>
    </w:p>
    <w:p w:rsidR="000E1865" w:rsidRDefault="000E1865">
      <w:pPr>
        <w:pStyle w:val="normal0"/>
      </w:pPr>
    </w:p>
    <w:p w:rsidR="000E1865" w:rsidRDefault="00B51FCD">
      <w:pPr>
        <w:pStyle w:val="normal0"/>
      </w:pPr>
      <w:r>
        <w:t>Furthermore, students are particularly vulnerable to mental health problems. Over the past decade, there has been a 450% increase in the number of students declaring mental health conditions (The Wave Clinic, 2023). Survey data repeatedly shows that studen</w:t>
      </w:r>
      <w:r>
        <w:t xml:space="preserve">ts are less happy and anxious than non-students. In 2015- 2016, 15,395 UK first year students disclosed a mental health condition, 5 times the number in 2006-07, which is around 2 percent of students (Thorley, 2017). In 2021 (with the onset of the </w:t>
      </w:r>
      <w:proofErr w:type="spellStart"/>
      <w:r>
        <w:t>coronavi</w:t>
      </w:r>
      <w:r>
        <w:t>rus</w:t>
      </w:r>
      <w:proofErr w:type="spellEnd"/>
      <w:r>
        <w:t xml:space="preserve"> pandemic), this number had increased </w:t>
      </w:r>
      <w:r>
        <w:lastRenderedPageBreak/>
        <w:t>dramatically, with 37% of first year students showing moderate to severe symptoms of depression, and 39% having some form of anxiety (ONS, 2021). Students are vulnerable for a variety of reasons: many are living awa</w:t>
      </w:r>
      <w:r>
        <w:t>y from home for the first time away from direct support networks, learning to learn differently, and living with people they have never met. Additionally, over 80% of undergraduates fall into the age range where most mental health disorders develop (Brown,</w:t>
      </w:r>
      <w:r>
        <w:t xml:space="preserve"> 2016).  </w:t>
      </w:r>
    </w:p>
    <w:p w:rsidR="000E1865" w:rsidRDefault="000E1865">
      <w:pPr>
        <w:pStyle w:val="normal0"/>
      </w:pPr>
    </w:p>
    <w:p w:rsidR="000E1865" w:rsidRDefault="00B51FCD">
      <w:pPr>
        <w:pStyle w:val="normal0"/>
      </w:pPr>
      <w:r>
        <w:t xml:space="preserve">Research has also been conducted into the consequences of overcrowded spaces, linking it with low educational achievement amongst children (Carmona, </w:t>
      </w:r>
      <w:proofErr w:type="spellStart"/>
      <w:r>
        <w:t>Gallent</w:t>
      </w:r>
      <w:proofErr w:type="spellEnd"/>
      <w:r>
        <w:t xml:space="preserve"> and </w:t>
      </w:r>
      <w:proofErr w:type="spellStart"/>
      <w:r>
        <w:t>Sarkar</w:t>
      </w:r>
      <w:proofErr w:type="spellEnd"/>
      <w:r>
        <w:t xml:space="preserve">, 2010). Whilst university students are older and are studying in a different </w:t>
      </w:r>
      <w:r>
        <w:t xml:space="preserve">way to younger children, they spend more time at home, so arguably, the impact of limited space may be more pronounced.  </w:t>
      </w:r>
    </w:p>
    <w:p w:rsidR="000E1865" w:rsidRDefault="000E1865">
      <w:pPr>
        <w:pStyle w:val="normal0"/>
      </w:pPr>
    </w:p>
    <w:p w:rsidR="000E1865" w:rsidRDefault="00B51FCD">
      <w:pPr>
        <w:pStyle w:val="normal0"/>
      </w:pPr>
      <w:r>
        <w:t xml:space="preserve"> </w:t>
      </w:r>
    </w:p>
    <w:p w:rsidR="000E1865" w:rsidRDefault="00B51FCD">
      <w:pPr>
        <w:pStyle w:val="normal0"/>
        <w:rPr>
          <w:u w:val="single"/>
        </w:rPr>
      </w:pPr>
      <w:r>
        <w:rPr>
          <w:u w:val="single"/>
        </w:rPr>
        <w:t xml:space="preserve">The Student ‘Bubble’ </w:t>
      </w:r>
    </w:p>
    <w:p w:rsidR="000E1865" w:rsidRDefault="000E1865">
      <w:pPr>
        <w:pStyle w:val="normal0"/>
      </w:pPr>
    </w:p>
    <w:p w:rsidR="000E1865" w:rsidRDefault="00B51FCD">
      <w:pPr>
        <w:pStyle w:val="normal0"/>
      </w:pPr>
      <w:r>
        <w:t>Participation in higher education has increased massively, with numbers doubling from 1992 to 2016. From Mar</w:t>
      </w:r>
      <w:r>
        <w:t>ch to May 1992, there were 984,000 people (aged 18-24) in full time education, and from May to July 2016, there were 1.87 million in full time education, approximately 1 in 3 people (ONS, 2016). The most current numbers show that there are almost 2.9 milli</w:t>
      </w:r>
      <w:r>
        <w:t>on students at UK higher education institutions (House of Commons Library, 2023). Leeds has also been ranked in the top spot for the number of student properties that the city has, with a total of 16,225 homes across the city (</w:t>
      </w:r>
      <w:proofErr w:type="spellStart"/>
      <w:r>
        <w:t>Whistance</w:t>
      </w:r>
      <w:proofErr w:type="spellEnd"/>
      <w:r>
        <w:t xml:space="preserve">, 2022).  </w:t>
      </w:r>
    </w:p>
    <w:p w:rsidR="000E1865" w:rsidRDefault="000E1865">
      <w:pPr>
        <w:pStyle w:val="normal0"/>
      </w:pPr>
    </w:p>
    <w:p w:rsidR="000E1865" w:rsidRDefault="00B51FCD">
      <w:pPr>
        <w:pStyle w:val="normal0"/>
      </w:pPr>
      <w:r>
        <w:t>One argu</w:t>
      </w:r>
      <w:r>
        <w:t>ment for increasing space standards is that if the student ‘bubble’ ever bursts, then accommodation needs to be adaptable for non-student households to utilise. Investment in purpose-built student accommodation totalled £7.2 billion in 2022, up 69% year-on</w:t>
      </w:r>
      <w:r>
        <w:t>-year and the student population is expected to grow by 16% in 2030, adding another 250,000 students into renting (Vernon, 2023). This is producing an insatiable demand for student accommodation, and some universities are struggling to meet demand. In 2022</w:t>
      </w:r>
      <w:r>
        <w:t>, the University of Manchester had more than 350 first-year students waiting for accommodation and had to offer some students halls in cities such as Liverpool, whilst also offering £2500 to students who had reserved halls, but lived within commuting dista</w:t>
      </w:r>
      <w:r>
        <w:t>nce (</w:t>
      </w:r>
      <w:proofErr w:type="spellStart"/>
      <w:r>
        <w:t>Fazackerley</w:t>
      </w:r>
      <w:proofErr w:type="spellEnd"/>
      <w:r>
        <w:t xml:space="preserve"> and Livingston, 2022).  </w:t>
      </w:r>
    </w:p>
    <w:p w:rsidR="000E1865" w:rsidRDefault="000E1865">
      <w:pPr>
        <w:pStyle w:val="normal0"/>
      </w:pPr>
    </w:p>
    <w:p w:rsidR="000E1865" w:rsidRDefault="00B51FCD">
      <w:pPr>
        <w:pStyle w:val="normal0"/>
      </w:pPr>
      <w:r>
        <w:t>In contrast to ever-increasing university numbers, the government is attempting to limit the number of university places, by either capping numbers or by introducing a new minimum entry threshold, which would bloc</w:t>
      </w:r>
      <w:r>
        <w:t>k access to student loans. The aim of the government is to push those who do not qualify into further education colleges instead. However, the policy has been criticised for excluding disadvantaged students out of the university sector (</w:t>
      </w:r>
      <w:proofErr w:type="spellStart"/>
      <w:r>
        <w:t>Fazackerley</w:t>
      </w:r>
      <w:proofErr w:type="spellEnd"/>
      <w:r>
        <w:t>, 2022).</w:t>
      </w:r>
      <w:r>
        <w:t xml:space="preserve"> Other measures such as T-levels and an increased focus on apprenticeships also reduce the number of students going to university. T levels are equivalent to 3 A levels, and focus on vocational skills, alongside work experience within industry, meaning a s</w:t>
      </w:r>
      <w:r>
        <w:t xml:space="preserve">tudent may be less likely to go to university.  </w:t>
      </w:r>
    </w:p>
    <w:p w:rsidR="000E1865" w:rsidRDefault="000E1865">
      <w:pPr>
        <w:pStyle w:val="normal0"/>
      </w:pPr>
    </w:p>
    <w:p w:rsidR="000E1865" w:rsidRDefault="00B51FCD">
      <w:pPr>
        <w:pStyle w:val="normal0"/>
      </w:pPr>
      <w:r>
        <w:lastRenderedPageBreak/>
        <w:t>However, even with new alternatives to university, evidence suggests that the university student accommodation ‘bubble’ shows no signs of bursting. Even with a downturn in the property market, critics argue</w:t>
      </w:r>
      <w:r>
        <w:t xml:space="preserve"> that student housing costs will never reduce, as there is always a resilient demand from international and foreign students and domestic middle-class parents who prioritise spending on their child’s education (</w:t>
      </w:r>
      <w:proofErr w:type="spellStart"/>
      <w:r>
        <w:t>Pooley</w:t>
      </w:r>
      <w:proofErr w:type="spellEnd"/>
      <w:r>
        <w:t>, 2022). Finally, it is difficult to pr</w:t>
      </w:r>
      <w:r>
        <w:t xml:space="preserve">edict whether demand for university accommodation and housing will decrease, but it is vital to be prepared for all eventualities. The importance of flexible uses for housing is discussed by academics. Housing needs to be </w:t>
      </w:r>
      <w:proofErr w:type="gramStart"/>
      <w:r>
        <w:t>functional,</w:t>
      </w:r>
      <w:proofErr w:type="gramEnd"/>
      <w:r>
        <w:t xml:space="preserve"> and “floor and living </w:t>
      </w:r>
      <w:r>
        <w:t xml:space="preserve">space is a large part of this functionality” (Carmona, </w:t>
      </w:r>
      <w:proofErr w:type="spellStart"/>
      <w:r>
        <w:t>Gallent</w:t>
      </w:r>
      <w:proofErr w:type="spellEnd"/>
      <w:r>
        <w:t xml:space="preserve"> and </w:t>
      </w:r>
      <w:proofErr w:type="spellStart"/>
      <w:r>
        <w:t>Sarkar</w:t>
      </w:r>
      <w:proofErr w:type="spellEnd"/>
      <w:r>
        <w:t xml:space="preserve">, 2010, p.4). </w:t>
      </w:r>
    </w:p>
    <w:p w:rsidR="000E1865" w:rsidRDefault="000E1865">
      <w:pPr>
        <w:pStyle w:val="normal0"/>
      </w:pPr>
    </w:p>
    <w:p w:rsidR="000E1865" w:rsidRDefault="00B51FCD">
      <w:pPr>
        <w:pStyle w:val="normal0"/>
      </w:pPr>
      <w:r>
        <w:t xml:space="preserve"> </w:t>
      </w:r>
    </w:p>
    <w:p w:rsidR="000E1865" w:rsidRDefault="000E1865">
      <w:pPr>
        <w:pStyle w:val="normal0"/>
      </w:pPr>
    </w:p>
    <w:p w:rsidR="000E1865" w:rsidRDefault="00B51FCD">
      <w:pPr>
        <w:pStyle w:val="normal0"/>
      </w:pPr>
      <w:r>
        <w:t xml:space="preserve"> </w:t>
      </w:r>
    </w:p>
    <w:p w:rsidR="000E1865" w:rsidRDefault="000E1865">
      <w:pPr>
        <w:pStyle w:val="normal0"/>
      </w:pPr>
    </w:p>
    <w:p w:rsidR="000E1865" w:rsidRDefault="00B51FCD">
      <w:pPr>
        <w:pStyle w:val="normal0"/>
      </w:pPr>
      <w:r>
        <w:t xml:space="preserve"> </w:t>
      </w:r>
    </w:p>
    <w:p w:rsidR="000E1865" w:rsidRDefault="00B51FCD">
      <w:pPr>
        <w:pStyle w:val="normal0"/>
      </w:pPr>
      <w:r>
        <w:t xml:space="preserve"> </w:t>
      </w:r>
    </w:p>
    <w:p w:rsidR="000E1865" w:rsidRDefault="000E1865">
      <w:pPr>
        <w:pStyle w:val="normal0"/>
      </w:pPr>
    </w:p>
    <w:p w:rsidR="000E1865" w:rsidRDefault="00B51FCD">
      <w:pPr>
        <w:pStyle w:val="normal0"/>
        <w:rPr>
          <w:b/>
        </w:rPr>
      </w:pPr>
      <w:r>
        <w:br w:type="page"/>
      </w:r>
    </w:p>
    <w:p w:rsidR="000E1865" w:rsidRDefault="00B51FCD">
      <w:pPr>
        <w:pStyle w:val="normal0"/>
        <w:rPr>
          <w:b/>
        </w:rPr>
      </w:pPr>
      <w:r>
        <w:rPr>
          <w:b/>
        </w:rPr>
        <w:lastRenderedPageBreak/>
        <w:t xml:space="preserve">7. Conclusions </w:t>
      </w:r>
    </w:p>
    <w:p w:rsidR="000E1865" w:rsidRDefault="000E1865">
      <w:pPr>
        <w:pStyle w:val="normal0"/>
      </w:pPr>
    </w:p>
    <w:p w:rsidR="000E1865" w:rsidRDefault="00B51FCD">
      <w:pPr>
        <w:pStyle w:val="normal0"/>
      </w:pPr>
      <w:r>
        <w:t>Students can and should, expect a reasonable standard of accommodation and given the length of time spent in their bedrooms, they require</w:t>
      </w:r>
      <w:r>
        <w:t xml:space="preserve"> the same, if not more space than the general population. Furthermore, given the identified impact higher education has on students' mental health and the staggering cost of student accommodation, the matter is of great importance. As outlined above, space</w:t>
      </w:r>
      <w:r>
        <w:t xml:space="preserve"> standards do not apply to students in PBSA developments. Minimum standards apply to HMOs through the licensing process with the local Council but not through the planning process. The impact of the COVID-19 pandemic, remote working and the recognised impa</w:t>
      </w:r>
      <w:r>
        <w:t xml:space="preserve">ct that the lack of space has on mental health, clearly shows the importance of the provision of adequate space standards in student accommodation.  </w:t>
      </w:r>
    </w:p>
    <w:p w:rsidR="000E1865" w:rsidRDefault="000E1865">
      <w:pPr>
        <w:pStyle w:val="normal0"/>
      </w:pPr>
    </w:p>
    <w:p w:rsidR="000E1865" w:rsidRDefault="00B51FCD">
      <w:pPr>
        <w:pStyle w:val="normal0"/>
      </w:pPr>
      <w:r>
        <w:t xml:space="preserve">Leeds City Council </w:t>
      </w:r>
      <w:proofErr w:type="gramStart"/>
      <w:r>
        <w:t>have</w:t>
      </w:r>
      <w:proofErr w:type="gramEnd"/>
      <w:r>
        <w:t xml:space="preserve"> recognised this issue and are currently in the process of producing an SPD to add</w:t>
      </w:r>
      <w:r>
        <w:t xml:space="preserve">ress the matter. </w:t>
      </w:r>
    </w:p>
    <w:p w:rsidR="000E1865" w:rsidRDefault="000E1865">
      <w:pPr>
        <w:pStyle w:val="normal0"/>
      </w:pPr>
    </w:p>
    <w:p w:rsidR="000E1865" w:rsidRDefault="00B51FCD">
      <w:pPr>
        <w:pStyle w:val="normal0"/>
      </w:pPr>
      <w:r>
        <w:t xml:space="preserve">Notwithstanding this, the Little Woodhouse Neighbourhood Plan can include its own requirements in relation to space standards for student accommodation and HMOs within the plan area.  </w:t>
      </w:r>
    </w:p>
    <w:p w:rsidR="000E1865" w:rsidRDefault="000E1865">
      <w:pPr>
        <w:pStyle w:val="normal0"/>
      </w:pPr>
    </w:p>
    <w:p w:rsidR="000E1865" w:rsidRDefault="00B51FCD">
      <w:pPr>
        <w:pStyle w:val="normal0"/>
      </w:pPr>
      <w:r>
        <w:t xml:space="preserve"> </w:t>
      </w:r>
    </w:p>
    <w:p w:rsidR="000E1865" w:rsidRDefault="000E1865">
      <w:pPr>
        <w:pStyle w:val="normal0"/>
      </w:pPr>
    </w:p>
    <w:p w:rsidR="000E1865" w:rsidRDefault="00B51FCD">
      <w:pPr>
        <w:pStyle w:val="normal0"/>
      </w:pPr>
      <w:r>
        <w:t xml:space="preserve"> </w:t>
      </w:r>
    </w:p>
    <w:p w:rsidR="000E1865" w:rsidRDefault="00B51FCD">
      <w:pPr>
        <w:pStyle w:val="normal0"/>
      </w:pPr>
      <w:r>
        <w:t xml:space="preserve"> </w:t>
      </w:r>
    </w:p>
    <w:p w:rsidR="000E1865" w:rsidRDefault="000E1865">
      <w:pPr>
        <w:pStyle w:val="normal0"/>
      </w:pPr>
    </w:p>
    <w:p w:rsidR="000E1865" w:rsidRDefault="00B51FCD">
      <w:pPr>
        <w:pStyle w:val="normal0"/>
        <w:rPr>
          <w:b/>
        </w:rPr>
      </w:pPr>
      <w:r>
        <w:br w:type="page"/>
      </w:r>
    </w:p>
    <w:p w:rsidR="000E1865" w:rsidRDefault="00B51FCD">
      <w:pPr>
        <w:pStyle w:val="normal0"/>
        <w:rPr>
          <w:b/>
        </w:rPr>
      </w:pPr>
      <w:r>
        <w:rPr>
          <w:b/>
        </w:rPr>
        <w:lastRenderedPageBreak/>
        <w:t xml:space="preserve">8. Recommendations to the Little Woodhouse Community Association  </w:t>
      </w:r>
    </w:p>
    <w:p w:rsidR="000E1865" w:rsidRDefault="000E1865">
      <w:pPr>
        <w:pStyle w:val="normal0"/>
      </w:pPr>
    </w:p>
    <w:p w:rsidR="000E1865" w:rsidRDefault="00B51FCD">
      <w:pPr>
        <w:pStyle w:val="normal0"/>
        <w:rPr>
          <w:u w:val="single"/>
        </w:rPr>
      </w:pPr>
      <w:r>
        <w:rPr>
          <w:u w:val="single"/>
        </w:rPr>
        <w:t xml:space="preserve">Recommendation 1 </w:t>
      </w:r>
    </w:p>
    <w:p w:rsidR="000E1865" w:rsidRDefault="000E1865">
      <w:pPr>
        <w:pStyle w:val="normal0"/>
      </w:pPr>
    </w:p>
    <w:p w:rsidR="000E1865" w:rsidRDefault="00B51FCD">
      <w:pPr>
        <w:pStyle w:val="normal0"/>
        <w:rPr>
          <w:b/>
        </w:rPr>
      </w:pPr>
      <w:r>
        <w:rPr>
          <w:b/>
        </w:rPr>
        <w:t xml:space="preserve">Bedrooms within new student accommodation to meet a minimum floor area in line with the Nationally Described Space Standard (NDSS) </w:t>
      </w:r>
    </w:p>
    <w:p w:rsidR="000E1865" w:rsidRDefault="000E1865">
      <w:pPr>
        <w:pStyle w:val="normal0"/>
      </w:pPr>
    </w:p>
    <w:p w:rsidR="000E1865" w:rsidRDefault="00B51FCD">
      <w:pPr>
        <w:pStyle w:val="normal0"/>
      </w:pPr>
      <w:r>
        <w:t>According to the Little Woodhouse NP</w:t>
      </w:r>
      <w:r>
        <w:t xml:space="preserve"> Draft, if there is no national or local requirement for student accommodation to meet space standards, or if (in the future) there is a requirement that is less than residential dwellings, there is a far greater incentive for building or converting to stu</w:t>
      </w:r>
      <w:r>
        <w:t xml:space="preserve">dent accommodation.  </w:t>
      </w:r>
    </w:p>
    <w:p w:rsidR="000E1865" w:rsidRDefault="000E1865">
      <w:pPr>
        <w:pStyle w:val="normal0"/>
      </w:pPr>
    </w:p>
    <w:p w:rsidR="000E1865" w:rsidRDefault="00B51FCD">
      <w:pPr>
        <w:pStyle w:val="normal0"/>
      </w:pPr>
      <w:r>
        <w:t>The NDSS requires that double bedrooms have a minimum floor area of 11.5sqm. The LCC draft SPD aligns with this requirement in relation to floor area for PBSA bedrooms which specifies between 11.5 and 14sqm. It is therefore considere</w:t>
      </w:r>
      <w:r>
        <w:t xml:space="preserve">d that adopting the draft SPD standards for student accommodation in Little Woodhouse would reflect national and local standards. Additionally, this is significantly higher than the 6.5sqm requirement for bedrooms subject to HMO licences. Given this would </w:t>
      </w:r>
      <w:r>
        <w:t xml:space="preserve">align with national standards in relation to market </w:t>
      </w:r>
      <w:proofErr w:type="gramStart"/>
      <w:r>
        <w:t>housing,</w:t>
      </w:r>
      <w:proofErr w:type="gramEnd"/>
      <w:r>
        <w:t xml:space="preserve"> it is considered that accommodation would provide an acceptable space standard for students.  </w:t>
      </w:r>
    </w:p>
    <w:p w:rsidR="000E1865" w:rsidRDefault="000E1865">
      <w:pPr>
        <w:pStyle w:val="normal0"/>
      </w:pPr>
    </w:p>
    <w:p w:rsidR="000E1865" w:rsidRDefault="00B51FCD">
      <w:pPr>
        <w:pStyle w:val="normal0"/>
      </w:pPr>
      <w:r>
        <w:t>Furthermore, given PBSA is generally constructed by student accommodation providers rather than ind</w:t>
      </w:r>
      <w:r>
        <w:t xml:space="preserve">ividual developers, it may be unreasonable for these providers to design accommodation with differing space standards in different areas of the city, or country.  </w:t>
      </w:r>
    </w:p>
    <w:p w:rsidR="000E1865" w:rsidRDefault="000E1865">
      <w:pPr>
        <w:pStyle w:val="normal0"/>
      </w:pPr>
    </w:p>
    <w:p w:rsidR="000E1865" w:rsidRDefault="00B51FCD">
      <w:pPr>
        <w:pStyle w:val="normal0"/>
      </w:pPr>
      <w:r>
        <w:t>In relation to HMOs, the draft Leeds City Council SPD specifies that bedrooms should have a</w:t>
      </w:r>
      <w:r>
        <w:t xml:space="preserve"> minimum floor area of 11 </w:t>
      </w:r>
      <w:proofErr w:type="spellStart"/>
      <w:r>
        <w:t>sqm</w:t>
      </w:r>
      <w:proofErr w:type="spellEnd"/>
      <w:r>
        <w:t xml:space="preserve">. It is suggested that Little Woodhouse adopt the NDSS requirement of 11.5sqm for bedrooms in HMOs to align with student accommodation and market housing.  </w:t>
      </w:r>
    </w:p>
    <w:p w:rsidR="000E1865" w:rsidRDefault="000E1865">
      <w:pPr>
        <w:pStyle w:val="normal0"/>
      </w:pPr>
    </w:p>
    <w:p w:rsidR="000E1865" w:rsidRDefault="00B51FCD">
      <w:pPr>
        <w:pStyle w:val="normal0"/>
      </w:pPr>
      <w:r>
        <w:t xml:space="preserve">Leeds City Council </w:t>
      </w:r>
      <w:proofErr w:type="gramStart"/>
      <w:r>
        <w:t>have</w:t>
      </w:r>
      <w:proofErr w:type="gramEnd"/>
      <w:r>
        <w:t xml:space="preserve"> produced a practice note providing more infor</w:t>
      </w:r>
      <w:r>
        <w:t>mation on how they determine applications relating to HMOs. Whilst this predominantly elaborates on the requirements of the local plan policy, it does advise of the council’s support for flexible use class permissions, allowing properties to have a dual C3</w:t>
      </w:r>
      <w:r>
        <w:t xml:space="preserve">/C4 use. </w:t>
      </w:r>
    </w:p>
    <w:p w:rsidR="000E1865" w:rsidRDefault="000E1865">
      <w:pPr>
        <w:pStyle w:val="normal0"/>
      </w:pPr>
    </w:p>
    <w:p w:rsidR="000E1865" w:rsidRDefault="00B51FCD">
      <w:pPr>
        <w:pStyle w:val="normal0"/>
      </w:pPr>
      <w:r>
        <w:t>Given the support for mixed/flexible use properties, along with support for temporary HMO permissions, one space standard for residential dwellings and HMOs would allow for greater flexibility of these mixed uses. Whilst this could result in mor</w:t>
      </w:r>
      <w:r>
        <w:t xml:space="preserve">e properties being subject to the mixed C3/C4 use, it does allow for increased flexibility and perhaps more of an incentive for landlords or property owners to convert HMOs back to </w:t>
      </w:r>
      <w:proofErr w:type="spellStart"/>
      <w:r>
        <w:t>dwellinghouses</w:t>
      </w:r>
      <w:proofErr w:type="spellEnd"/>
      <w:r>
        <w:t xml:space="preserve"> given the limited internal alterations that would be require</w:t>
      </w:r>
      <w:r>
        <w:t xml:space="preserve">d. This would in turn provide more opportunity to rebalance the demographic mix of the area, one of the key aims of the NP.  </w:t>
      </w:r>
    </w:p>
    <w:p w:rsidR="000E1865" w:rsidRDefault="000E1865">
      <w:pPr>
        <w:pStyle w:val="normal0"/>
      </w:pPr>
    </w:p>
    <w:p w:rsidR="000E1865" w:rsidRDefault="00B51FCD">
      <w:pPr>
        <w:pStyle w:val="normal0"/>
      </w:pPr>
      <w:r>
        <w:lastRenderedPageBreak/>
        <w:t>Any planning application which does not meet the specified standard should be refused and the Council should look favourably on a</w:t>
      </w:r>
      <w:r>
        <w:t xml:space="preserve">pplications which exceed the minimum standards.  </w:t>
      </w:r>
    </w:p>
    <w:p w:rsidR="000E1865" w:rsidRDefault="000E1865">
      <w:pPr>
        <w:pStyle w:val="normal0"/>
      </w:pPr>
    </w:p>
    <w:p w:rsidR="000E1865" w:rsidRDefault="00B51FCD">
      <w:pPr>
        <w:pStyle w:val="normal0"/>
      </w:pPr>
      <w:r>
        <w:t xml:space="preserve"> </w:t>
      </w:r>
    </w:p>
    <w:p w:rsidR="000E1865" w:rsidRDefault="00B51FCD">
      <w:pPr>
        <w:pStyle w:val="normal0"/>
        <w:rPr>
          <w:u w:val="single"/>
        </w:rPr>
      </w:pPr>
      <w:r>
        <w:rPr>
          <w:u w:val="single"/>
        </w:rPr>
        <w:t xml:space="preserve">Recommendation 2  </w:t>
      </w:r>
    </w:p>
    <w:p w:rsidR="000E1865" w:rsidRDefault="000E1865">
      <w:pPr>
        <w:pStyle w:val="normal0"/>
      </w:pPr>
    </w:p>
    <w:p w:rsidR="000E1865" w:rsidRDefault="00B51FCD">
      <w:pPr>
        <w:pStyle w:val="normal0"/>
        <w:rPr>
          <w:b/>
        </w:rPr>
      </w:pPr>
      <w:r>
        <w:rPr>
          <w:b/>
        </w:rPr>
        <w:t xml:space="preserve">New student accommodation should be of an acceptable standard to meet the aims of mental health, provision of study space and ability to convert to alternate uses </w:t>
      </w:r>
    </w:p>
    <w:p w:rsidR="000E1865" w:rsidRDefault="000E1865">
      <w:pPr>
        <w:pStyle w:val="normal0"/>
      </w:pPr>
    </w:p>
    <w:p w:rsidR="000E1865" w:rsidRDefault="00B51FCD">
      <w:pPr>
        <w:pStyle w:val="normal0"/>
      </w:pPr>
      <w:r>
        <w:t xml:space="preserve">Whilst student accommodation is aimed at a transient population, students should not be expected to accept a lesser standard of accommodation than the general population, particularly with regards to space standards, natural light and an adequate outlook. </w:t>
      </w:r>
    </w:p>
    <w:p w:rsidR="000E1865" w:rsidRDefault="000E1865">
      <w:pPr>
        <w:pStyle w:val="normal0"/>
      </w:pPr>
    </w:p>
    <w:p w:rsidR="000E1865" w:rsidRDefault="00B51FCD">
      <w:pPr>
        <w:pStyle w:val="normal0"/>
      </w:pPr>
      <w:r>
        <w:t>HMOs and PBSA units should fully consider the impact on the existing community, with their ideals considered to be of greatest importance. Additionally, new HMOs/PBSAs should provide acceptable standards of accommodation to meet the aims of the mental he</w:t>
      </w:r>
      <w:r>
        <w:t xml:space="preserve">alth of the occupiers, the provision of adequate study space and the ability to convert to alternate uses.  </w:t>
      </w:r>
    </w:p>
    <w:p w:rsidR="000E1865" w:rsidRDefault="000E1865">
      <w:pPr>
        <w:pStyle w:val="normal0"/>
      </w:pPr>
    </w:p>
    <w:p w:rsidR="000E1865" w:rsidRDefault="00B51FCD">
      <w:pPr>
        <w:pStyle w:val="normal0"/>
      </w:pPr>
      <w:r>
        <w:t>In addition to the minimum room standards, new HMOs should ensure that there will be minimal impact on the balance and health of the existing comm</w:t>
      </w:r>
      <w:r>
        <w:t xml:space="preserve">unity and seek to avoid the loss of existing market housing stock where possible.  </w:t>
      </w:r>
    </w:p>
    <w:p w:rsidR="000E1865" w:rsidRDefault="000E1865">
      <w:pPr>
        <w:pStyle w:val="normal0"/>
      </w:pPr>
    </w:p>
    <w:p w:rsidR="000E1865" w:rsidRDefault="00B51FCD">
      <w:pPr>
        <w:pStyle w:val="normal0"/>
      </w:pPr>
      <w:r>
        <w:t>Applications for new HMOs/PBSAs should be accompanied by a Supporting Statement detailing how the proposal will impact on the existing community and housing stock. This wi</w:t>
      </w:r>
      <w:r>
        <w:t xml:space="preserve">ll allow Leeds City Council and Little Woodhouse to fully assess the impact of the development. </w:t>
      </w:r>
    </w:p>
    <w:p w:rsidR="000E1865" w:rsidRDefault="000E1865">
      <w:pPr>
        <w:pStyle w:val="normal0"/>
      </w:pPr>
    </w:p>
    <w:p w:rsidR="000E1865" w:rsidRDefault="00B51FCD">
      <w:pPr>
        <w:pStyle w:val="normal0"/>
      </w:pPr>
      <w:r>
        <w:t xml:space="preserve">Where a large proportion of properties in a small area are HMOs, significant consideration needs to be given to the potential impact a further HMO would have </w:t>
      </w:r>
      <w:r>
        <w:t xml:space="preserve">on the demographic and housing stock. Where a further HMO could have a detrimental effect on the area, planning permission should be refused.  </w:t>
      </w:r>
    </w:p>
    <w:p w:rsidR="000E1865" w:rsidRDefault="000E1865">
      <w:pPr>
        <w:pStyle w:val="normal0"/>
      </w:pPr>
    </w:p>
    <w:p w:rsidR="000E1865" w:rsidRDefault="00B51FCD">
      <w:pPr>
        <w:pStyle w:val="normal0"/>
      </w:pPr>
      <w:r>
        <w:t>In addition to the inclusion of a Supporting Statement, applications for new HMOs/PBSAs should include detailed</w:t>
      </w:r>
      <w:r>
        <w:t xml:space="preserve"> floor plans of the property to indicate the provision of adequate space for students, including the position of furniture.  </w:t>
      </w:r>
    </w:p>
    <w:p w:rsidR="000E1865" w:rsidRDefault="000E1865">
      <w:pPr>
        <w:pStyle w:val="normal0"/>
      </w:pPr>
    </w:p>
    <w:p w:rsidR="000E1865" w:rsidRDefault="00B51FCD">
      <w:pPr>
        <w:pStyle w:val="normal0"/>
      </w:pPr>
      <w:r>
        <w:t xml:space="preserve">Applications for new HMOs/PBSAs should also ensure that accommodation provides a high standard of amenity for future users, with </w:t>
      </w:r>
      <w:r>
        <w:t xml:space="preserve">all living and bedrooms including a window providing access to natural light and an outlook. This approach is consistent with the requirements of paragraph 130(f) of the NPPF: </w:t>
      </w:r>
    </w:p>
    <w:p w:rsidR="000E1865" w:rsidRDefault="000E1865">
      <w:pPr>
        <w:pStyle w:val="normal0"/>
      </w:pPr>
    </w:p>
    <w:p w:rsidR="000E1865" w:rsidRDefault="00B51FCD">
      <w:pPr>
        <w:pStyle w:val="normal0"/>
      </w:pPr>
      <w:r>
        <w:rPr>
          <w:i/>
        </w:rPr>
        <w:t>“</w:t>
      </w:r>
      <w:proofErr w:type="gramStart"/>
      <w:r>
        <w:rPr>
          <w:i/>
        </w:rPr>
        <w:t>create</w:t>
      </w:r>
      <w:proofErr w:type="gramEnd"/>
      <w:r>
        <w:rPr>
          <w:i/>
        </w:rPr>
        <w:t xml:space="preserve"> places that are safe, inclusive and accessible and which promote healt</w:t>
      </w:r>
      <w:r>
        <w:rPr>
          <w:i/>
        </w:rPr>
        <w:t xml:space="preserve">h and well-being, with a high standard of amenity for existing and future users; and where crime and disorder, and the fear of crime, do not undermine the quality of life or community cohesion and resilience.” </w:t>
      </w:r>
      <w:proofErr w:type="gramStart"/>
      <w:r>
        <w:t>(NPPF, 2021).</w:t>
      </w:r>
      <w:proofErr w:type="gramEnd"/>
      <w:r>
        <w:t xml:space="preserve">  </w:t>
      </w:r>
    </w:p>
    <w:p w:rsidR="000E1865" w:rsidRDefault="000E1865">
      <w:pPr>
        <w:pStyle w:val="normal0"/>
      </w:pPr>
    </w:p>
    <w:p w:rsidR="000E1865" w:rsidRDefault="00B51FCD">
      <w:pPr>
        <w:pStyle w:val="normal0"/>
      </w:pPr>
      <w:r>
        <w:t xml:space="preserve">Where proposals do not provide an acceptable standard of living accommodation, planning permission should be refused. </w:t>
      </w:r>
    </w:p>
    <w:p w:rsidR="000E1865" w:rsidRDefault="000E1865">
      <w:pPr>
        <w:pStyle w:val="normal0"/>
      </w:pPr>
    </w:p>
    <w:p w:rsidR="000E1865" w:rsidRDefault="00B51FCD">
      <w:pPr>
        <w:pStyle w:val="normal0"/>
      </w:pPr>
      <w:r>
        <w:t xml:space="preserve"> </w:t>
      </w:r>
    </w:p>
    <w:p w:rsidR="000E1865" w:rsidRDefault="000E1865">
      <w:pPr>
        <w:pStyle w:val="normal0"/>
      </w:pPr>
    </w:p>
    <w:p w:rsidR="000E1865" w:rsidRDefault="000E1865">
      <w:pPr>
        <w:pStyle w:val="normal0"/>
      </w:pPr>
    </w:p>
    <w:p w:rsidR="000E1865" w:rsidRDefault="000E1865">
      <w:pPr>
        <w:pStyle w:val="normal0"/>
      </w:pPr>
    </w:p>
    <w:p w:rsidR="000E1865" w:rsidRDefault="00B51FCD">
      <w:pPr>
        <w:pStyle w:val="normal0"/>
      </w:pPr>
      <w:r>
        <w:t xml:space="preserve"> </w:t>
      </w:r>
    </w:p>
    <w:p w:rsidR="000E1865" w:rsidRDefault="000E1865">
      <w:pPr>
        <w:pStyle w:val="normal0"/>
      </w:pPr>
    </w:p>
    <w:p w:rsidR="000E1865" w:rsidRDefault="00B51FCD">
      <w:pPr>
        <w:pStyle w:val="normal0"/>
      </w:pPr>
      <w:r>
        <w:t xml:space="preserve"> </w:t>
      </w:r>
    </w:p>
    <w:p w:rsidR="000E1865" w:rsidRDefault="000E1865">
      <w:pPr>
        <w:pStyle w:val="normal0"/>
      </w:pPr>
    </w:p>
    <w:p w:rsidR="000E1865" w:rsidRDefault="00B51FCD">
      <w:pPr>
        <w:pStyle w:val="normal0"/>
      </w:pPr>
      <w:r>
        <w:t xml:space="preserve"> </w:t>
      </w:r>
    </w:p>
    <w:p w:rsidR="000E1865" w:rsidRDefault="00B51FCD">
      <w:pPr>
        <w:pStyle w:val="normal0"/>
      </w:pPr>
      <w:r>
        <w:t xml:space="preserve"> </w:t>
      </w:r>
    </w:p>
    <w:p w:rsidR="000E1865" w:rsidRDefault="000E1865">
      <w:pPr>
        <w:pStyle w:val="normal0"/>
      </w:pPr>
    </w:p>
    <w:p w:rsidR="000E1865" w:rsidRDefault="00B51FCD">
      <w:pPr>
        <w:pStyle w:val="normal0"/>
        <w:rPr>
          <w:b/>
        </w:rPr>
      </w:pPr>
      <w:r>
        <w:br w:type="page"/>
      </w:r>
    </w:p>
    <w:p w:rsidR="000E1865" w:rsidRDefault="00B51FCD">
      <w:pPr>
        <w:pStyle w:val="normal0"/>
        <w:rPr>
          <w:b/>
        </w:rPr>
      </w:pPr>
      <w:r>
        <w:rPr>
          <w:b/>
        </w:rPr>
        <w:lastRenderedPageBreak/>
        <w:t xml:space="preserve">9. Conclusion </w:t>
      </w:r>
    </w:p>
    <w:p w:rsidR="000E1865" w:rsidRDefault="000E1865">
      <w:pPr>
        <w:pStyle w:val="normal0"/>
      </w:pPr>
    </w:p>
    <w:p w:rsidR="000E1865" w:rsidRDefault="00B51FCD">
      <w:pPr>
        <w:pStyle w:val="normal0"/>
      </w:pPr>
      <w:r>
        <w:t>Through the adoption of the recommendations in this report, it is hoped that new HMOs/PBSAs in Little Woodhouse will be of a high standard and provided in areas which will not negatively impact on the existing community. It is hoped that the requirements w</w:t>
      </w:r>
      <w:r>
        <w:t xml:space="preserve">ill allow for greater opportunities to convert HMOs back to C3 </w:t>
      </w:r>
      <w:proofErr w:type="spellStart"/>
      <w:r>
        <w:t>dwellinghouses</w:t>
      </w:r>
      <w:proofErr w:type="spellEnd"/>
      <w:r>
        <w:t xml:space="preserve">, along with ensuring that a significant proportion of the area is not covered by HMOs, in turn providing more housing mix and stock.  </w:t>
      </w:r>
    </w:p>
    <w:p w:rsidR="000E1865" w:rsidRDefault="000E1865">
      <w:pPr>
        <w:pStyle w:val="normal0"/>
      </w:pPr>
    </w:p>
    <w:p w:rsidR="000E1865" w:rsidRDefault="00B51FCD">
      <w:pPr>
        <w:pStyle w:val="normal0"/>
      </w:pPr>
      <w:r>
        <w:t xml:space="preserve">In addition, given the known impacts lack </w:t>
      </w:r>
      <w:r>
        <w:t xml:space="preserve">of space and further education has on student mental health, it is hoped that the provision of high-quality student accommodation would help to alleviate some of the mental health impacts higher education has on students.  </w:t>
      </w:r>
    </w:p>
    <w:p w:rsidR="000E1865" w:rsidRDefault="000E1865">
      <w:pPr>
        <w:pStyle w:val="normal0"/>
      </w:pPr>
    </w:p>
    <w:p w:rsidR="000E1865" w:rsidRDefault="00B51FCD">
      <w:pPr>
        <w:pStyle w:val="normal0"/>
      </w:pPr>
      <w:r>
        <w:t>Furthermore, the introduction o</w:t>
      </w:r>
      <w:r>
        <w:t xml:space="preserve">f space standards may also reduce developer enthusiasm towards building student accommodation within the area, given the requirements they would need to meet. The requirement for developments to meet specified space standards may result in less individual </w:t>
      </w:r>
      <w:r>
        <w:t xml:space="preserve">letting units within the development site, thus resulting in lower rent income. </w:t>
      </w:r>
    </w:p>
    <w:p w:rsidR="000E1865" w:rsidRDefault="000E1865">
      <w:pPr>
        <w:pStyle w:val="normal0"/>
      </w:pPr>
    </w:p>
    <w:p w:rsidR="000E1865" w:rsidRDefault="00B51FCD">
      <w:pPr>
        <w:pStyle w:val="normal0"/>
      </w:pPr>
      <w:r>
        <w:t>One of the key requirements in the draft LWNP is in regard to achieving a balanced community. Meeting the recommendations of this report will have secondary benefits to Littl</w:t>
      </w:r>
      <w:r>
        <w:t xml:space="preserve">e Woodhouse, particularly in relation to redressing the imbalance of the housing mix. </w:t>
      </w:r>
    </w:p>
    <w:p w:rsidR="000E1865" w:rsidRDefault="000E1865">
      <w:pPr>
        <w:pStyle w:val="normal0"/>
      </w:pPr>
    </w:p>
    <w:p w:rsidR="000E1865" w:rsidRDefault="00B51FCD">
      <w:pPr>
        <w:pStyle w:val="normal0"/>
      </w:pPr>
      <w:r>
        <w:t>To conclude therefore, it is considered that the adoption of the recommendations will have significant benefits to both current and future long-term occupiers of the Li</w:t>
      </w:r>
      <w:r>
        <w:t xml:space="preserve">ttle Woodhouse area, students and seek to address the matters raised within the neighbourhood plan.   </w:t>
      </w:r>
    </w:p>
    <w:p w:rsidR="000E1865" w:rsidRDefault="000E1865">
      <w:pPr>
        <w:pStyle w:val="normal0"/>
      </w:pPr>
    </w:p>
    <w:p w:rsidR="000E1865" w:rsidRDefault="00B51FCD">
      <w:pPr>
        <w:pStyle w:val="normal0"/>
      </w:pPr>
      <w:r>
        <w:t xml:space="preserve"> </w:t>
      </w:r>
    </w:p>
    <w:p w:rsidR="000E1865" w:rsidRDefault="000E1865">
      <w:pPr>
        <w:pStyle w:val="normal0"/>
      </w:pPr>
    </w:p>
    <w:p w:rsidR="000E1865" w:rsidRDefault="00B51FCD">
      <w:pPr>
        <w:pStyle w:val="normal0"/>
      </w:pPr>
      <w:r>
        <w:t xml:space="preserve"> </w:t>
      </w:r>
    </w:p>
    <w:p w:rsidR="000E1865" w:rsidRDefault="00B51FCD">
      <w:pPr>
        <w:pStyle w:val="normal0"/>
      </w:pPr>
      <w:r>
        <w:rPr>
          <w:b/>
        </w:rPr>
        <w:t xml:space="preserve">Word Count: </w:t>
      </w:r>
      <w:r>
        <w:t>5020</w:t>
      </w:r>
    </w:p>
    <w:p w:rsidR="000E1865" w:rsidRDefault="00B51FCD">
      <w:pPr>
        <w:pStyle w:val="normal0"/>
      </w:pPr>
      <w:r>
        <w:t xml:space="preserve"> </w:t>
      </w:r>
    </w:p>
    <w:p w:rsidR="000E1865" w:rsidRDefault="000E1865">
      <w:pPr>
        <w:pStyle w:val="normal0"/>
      </w:pPr>
    </w:p>
    <w:p w:rsidR="000E1865" w:rsidRDefault="00B51FCD">
      <w:pPr>
        <w:pStyle w:val="normal0"/>
      </w:pPr>
      <w:r>
        <w:t xml:space="preserve"> </w:t>
      </w:r>
    </w:p>
    <w:p w:rsidR="000E1865" w:rsidRDefault="00B51FCD">
      <w:pPr>
        <w:pStyle w:val="normal0"/>
      </w:pPr>
      <w:r>
        <w:t xml:space="preserve"> </w:t>
      </w:r>
    </w:p>
    <w:p w:rsidR="000E1865" w:rsidRDefault="000E1865">
      <w:pPr>
        <w:pStyle w:val="normal0"/>
      </w:pPr>
    </w:p>
    <w:p w:rsidR="000E1865" w:rsidRDefault="00B51FCD">
      <w:pPr>
        <w:pStyle w:val="normal0"/>
        <w:rPr>
          <w:b/>
        </w:rPr>
      </w:pPr>
      <w:r>
        <w:br w:type="page"/>
      </w:r>
    </w:p>
    <w:p w:rsidR="000E1865" w:rsidRDefault="00B51FCD">
      <w:pPr>
        <w:pStyle w:val="normal0"/>
        <w:rPr>
          <w:b/>
        </w:rPr>
      </w:pPr>
      <w:r>
        <w:rPr>
          <w:b/>
        </w:rPr>
        <w:lastRenderedPageBreak/>
        <w:t xml:space="preserve">References </w:t>
      </w:r>
    </w:p>
    <w:p w:rsidR="000E1865" w:rsidRDefault="000E1865">
      <w:pPr>
        <w:pStyle w:val="normal0"/>
      </w:pPr>
    </w:p>
    <w:p w:rsidR="000E1865" w:rsidRDefault="00B51FCD">
      <w:pPr>
        <w:pStyle w:val="normal0"/>
      </w:pPr>
      <w:r>
        <w:t>ANUK (2019) Code of Standards for Larger Residential Developments for student accommodation managed and controlled by educational establishments [Online] Available from: https://www.nationalcode.org/Handlers/Download.ashx?IDMF=c7384064-6926-432e-895e-1acb2</w:t>
      </w:r>
      <w:r>
        <w:t xml:space="preserve">b95571c [Accessed 07/05/2023]  </w:t>
      </w:r>
    </w:p>
    <w:p w:rsidR="000E1865" w:rsidRDefault="000E1865">
      <w:pPr>
        <w:pStyle w:val="normal0"/>
      </w:pPr>
    </w:p>
    <w:p w:rsidR="000E1865" w:rsidRDefault="00B51FCD">
      <w:pPr>
        <w:pStyle w:val="normal0"/>
      </w:pPr>
      <w:r>
        <w:t>ANUK (2022) The National Code of Standards for larger Developments for student accommodation NOT managed and controlled by educational establishments [Online] Available from: https://www.nationalcode.org/Handlers/Download.a</w:t>
      </w:r>
      <w:r>
        <w:t xml:space="preserve">shx?IDMF=ee3876c0-f02f-4f78-9f08-e4fc65bf38d2 [Accessed 07/05/2023] </w:t>
      </w:r>
    </w:p>
    <w:p w:rsidR="000E1865" w:rsidRDefault="000E1865">
      <w:pPr>
        <w:pStyle w:val="normal0"/>
      </w:pPr>
    </w:p>
    <w:p w:rsidR="000E1865" w:rsidRDefault="00B51FCD">
      <w:pPr>
        <w:pStyle w:val="normal0"/>
      </w:pPr>
      <w:r>
        <w:t>Bailey, N. (2017) Housing at the neighbourhood level: a review of the initial approaches to neighbourhood development plans under the Localism Act 2011 in England. Journal of Urbanism: I</w:t>
      </w:r>
      <w:r>
        <w:t xml:space="preserve">nternational Research on </w:t>
      </w:r>
      <w:proofErr w:type="spellStart"/>
      <w:r>
        <w:t>Placemaking</w:t>
      </w:r>
      <w:proofErr w:type="spellEnd"/>
      <w:r>
        <w:t xml:space="preserve"> and Urban Sustainability, 10 2017, pp. 1-13. </w:t>
      </w:r>
    </w:p>
    <w:p w:rsidR="000E1865" w:rsidRDefault="000E1865">
      <w:pPr>
        <w:pStyle w:val="normal0"/>
      </w:pPr>
    </w:p>
    <w:p w:rsidR="000E1865" w:rsidRDefault="00B51FCD">
      <w:pPr>
        <w:pStyle w:val="normal0"/>
      </w:pPr>
      <w:r>
        <w:t xml:space="preserve">Brown, P (2016) </w:t>
      </w:r>
      <w:proofErr w:type="gramStart"/>
      <w:r>
        <w:t>The</w:t>
      </w:r>
      <w:proofErr w:type="gramEnd"/>
      <w:r>
        <w:t xml:space="preserve"> invisible problem? Improving students’ mental health [Online] Available from: https://www.researchgate.net/profile/Poppy-Brown-3/publication/361641595_T</w:t>
      </w:r>
      <w:r>
        <w:t>he_invisible_problem_Improving_students'_mental_health_Poppy_Brown_With_a_Foreword_by_the_Rt_Hon_Norman_Lamb_MP_HEPI_Report_88/links/62bda499a31ea259bdbd8bab/The-invisible-problem-Improving-students-mental-health-Poppy-Brown-With-a-Foreword-by-the-Rt-Hon-N</w:t>
      </w:r>
      <w:r>
        <w:t xml:space="preserve">orman-Lamb-MP-HEPI-Report-88.pdf [Accessed 24/04/2023] </w:t>
      </w:r>
    </w:p>
    <w:p w:rsidR="000E1865" w:rsidRDefault="000E1865">
      <w:pPr>
        <w:pStyle w:val="normal0"/>
      </w:pPr>
    </w:p>
    <w:p w:rsidR="000E1865" w:rsidRDefault="00B51FCD">
      <w:pPr>
        <w:pStyle w:val="normal0"/>
      </w:pPr>
      <w:r>
        <w:t xml:space="preserve">Carmona, M, </w:t>
      </w:r>
      <w:proofErr w:type="spellStart"/>
      <w:r>
        <w:t>Gallent</w:t>
      </w:r>
      <w:proofErr w:type="spellEnd"/>
      <w:r>
        <w:t xml:space="preserve">, N and </w:t>
      </w:r>
      <w:proofErr w:type="spellStart"/>
      <w:r>
        <w:t>Sarkar</w:t>
      </w:r>
      <w:proofErr w:type="spellEnd"/>
      <w:r>
        <w:t xml:space="preserve">, R (2010) Space standards: the benefits [Online] Available from: https://files.cambridge.gov.uk/public/ldf/coredocs/rd-h-200.pdf [Accessed 02/05/2023] </w:t>
      </w:r>
    </w:p>
    <w:p w:rsidR="000E1865" w:rsidRDefault="000E1865">
      <w:pPr>
        <w:pStyle w:val="normal0"/>
      </w:pPr>
    </w:p>
    <w:p w:rsidR="000E1865" w:rsidRDefault="00B51FCD">
      <w:pPr>
        <w:pStyle w:val="normal0"/>
      </w:pPr>
      <w:proofErr w:type="spellStart"/>
      <w:r>
        <w:t>Fazackerley</w:t>
      </w:r>
      <w:proofErr w:type="spellEnd"/>
      <w:r>
        <w:t>,</w:t>
      </w:r>
      <w:r>
        <w:t xml:space="preserve"> A and Livingston, E (2022) Devastated UK students forced to live in neighbouring cities in university accommodation crisis. The Guardian [Online] Available from: https://www.theguardian.com/education/2022/sep/10/devastated-uk-students-forced-to-live-in-ne</w:t>
      </w:r>
      <w:r>
        <w:t xml:space="preserve">ighbouring-cities-in-university-accommodation-crisis [Accessed 24/04/2023]  </w:t>
      </w:r>
    </w:p>
    <w:p w:rsidR="000E1865" w:rsidRDefault="000E1865">
      <w:pPr>
        <w:pStyle w:val="normal0"/>
      </w:pPr>
    </w:p>
    <w:p w:rsidR="000E1865" w:rsidRDefault="00B51FCD">
      <w:pPr>
        <w:pStyle w:val="normal0"/>
      </w:pPr>
      <w:proofErr w:type="spellStart"/>
      <w:r>
        <w:t>Fazackerley</w:t>
      </w:r>
      <w:proofErr w:type="spellEnd"/>
      <w:r>
        <w:t>, A (2022) UK government wants to reduce university places for poorest, says tsar. The Guardian [Online] Available from: https://www.theguardian.com/education/2022/jan</w:t>
      </w:r>
      <w:r>
        <w:t xml:space="preserve">/29/government-university-places-poorest-chris-millward [Accessed 24/04/2023] </w:t>
      </w:r>
    </w:p>
    <w:p w:rsidR="000E1865" w:rsidRDefault="000E1865">
      <w:pPr>
        <w:pStyle w:val="normal0"/>
      </w:pPr>
    </w:p>
    <w:p w:rsidR="000E1865" w:rsidRDefault="00B51FCD">
      <w:pPr>
        <w:pStyle w:val="normal0"/>
      </w:pPr>
      <w:r>
        <w:t>FE News (2022) 37% of all students now choosing to live at home [Online] Available from: https://www.fenews.co.uk/education/37-of-all-students-now-choosing-to-live-at-home/ [Ac</w:t>
      </w:r>
      <w:r>
        <w:t xml:space="preserve">cessed 24/04/2023] </w:t>
      </w:r>
    </w:p>
    <w:p w:rsidR="000E1865" w:rsidRDefault="000E1865">
      <w:pPr>
        <w:pStyle w:val="normal0"/>
      </w:pPr>
    </w:p>
    <w:p w:rsidR="000E1865" w:rsidRDefault="00B51FCD">
      <w:pPr>
        <w:pStyle w:val="normal0"/>
      </w:pPr>
      <w:r>
        <w:t xml:space="preserve">Gov UK (2011) </w:t>
      </w:r>
      <w:proofErr w:type="gramStart"/>
      <w:r>
        <w:t>A</w:t>
      </w:r>
      <w:proofErr w:type="gramEnd"/>
      <w:r>
        <w:t xml:space="preserve"> plain English Guide to the Localism Bill - Update. </w:t>
      </w:r>
      <w:proofErr w:type="gramStart"/>
      <w:r>
        <w:t>[Online].</w:t>
      </w:r>
      <w:proofErr w:type="gramEnd"/>
      <w:r>
        <w:t xml:space="preserve"> Available from: &lt;https://assets.publishing.service.gov.uk/government/uploads/system/uploads/attachment_data/file/5959/1896534.pdf&gt; [Accessed 24/04/2023] </w:t>
      </w:r>
    </w:p>
    <w:p w:rsidR="000E1865" w:rsidRDefault="000E1865">
      <w:pPr>
        <w:pStyle w:val="normal0"/>
      </w:pPr>
    </w:p>
    <w:p w:rsidR="000E1865" w:rsidRDefault="00B51FCD">
      <w:pPr>
        <w:pStyle w:val="normal0"/>
      </w:pPr>
      <w:r>
        <w:lastRenderedPageBreak/>
        <w:t>Gov</w:t>
      </w:r>
      <w:r>
        <w:t xml:space="preserve"> UK (2021) National Planning Policy Framework [Online] Available from: https://assets.publishing.service.gov.uk/government/uploads/system/uploads/attachment_data/file/1005759/NPPF_July_2021.pdf [Accessed 14/05/2023] </w:t>
      </w:r>
    </w:p>
    <w:p w:rsidR="000E1865" w:rsidRDefault="000E1865">
      <w:pPr>
        <w:pStyle w:val="normal0"/>
      </w:pPr>
    </w:p>
    <w:p w:rsidR="000E1865" w:rsidRDefault="00B51FCD">
      <w:pPr>
        <w:pStyle w:val="normal0"/>
      </w:pPr>
      <w:r>
        <w:t>Gov UK (2016) Technical housing standa</w:t>
      </w:r>
      <w:r>
        <w:t xml:space="preserve">rds – nationally described space standards [Online] Available from: https://assets.publishing.service.gov.uk/government/uploads/system/uploads/attachment_data/file/1012976/160519_Nationally_Described_Space_Standard.pdf [Accessed 29/04/2023] </w:t>
      </w:r>
    </w:p>
    <w:p w:rsidR="000E1865" w:rsidRDefault="000E1865">
      <w:pPr>
        <w:pStyle w:val="normal0"/>
      </w:pPr>
    </w:p>
    <w:p w:rsidR="000E1865" w:rsidRDefault="00B51FCD">
      <w:pPr>
        <w:pStyle w:val="normal0"/>
      </w:pPr>
      <w:r>
        <w:t>House of Comm</w:t>
      </w:r>
      <w:r>
        <w:t xml:space="preserve">ons Library (2023) Higher education student numbers [Online] Available from: https://researchbriefings.files.parliament.uk/documents/CBP-7857/CBP-7857.pdf [Accessed 24/04/2023] </w:t>
      </w:r>
    </w:p>
    <w:p w:rsidR="000E1865" w:rsidRDefault="000E1865">
      <w:pPr>
        <w:pStyle w:val="normal0"/>
      </w:pPr>
    </w:p>
    <w:p w:rsidR="000E1865" w:rsidRDefault="00B51FCD">
      <w:pPr>
        <w:pStyle w:val="normal0"/>
      </w:pPr>
      <w:r>
        <w:t xml:space="preserve">Kearns, A. (2022) Housing space and occupancy standards: developing evidence </w:t>
      </w:r>
      <w:r>
        <w:t xml:space="preserve">for policy from a health and wellbeing perspective in the UK context. Building Research and Information, 50 (7) 2022, pp. 722-737 </w:t>
      </w:r>
    </w:p>
    <w:p w:rsidR="000E1865" w:rsidRDefault="000E1865">
      <w:pPr>
        <w:pStyle w:val="normal0"/>
      </w:pPr>
    </w:p>
    <w:p w:rsidR="000E1865" w:rsidRDefault="00B51FCD">
      <w:pPr>
        <w:pStyle w:val="normal0"/>
      </w:pPr>
      <w:proofErr w:type="gramStart"/>
      <w:r>
        <w:t>Kay, J (2022) The Leeds residents being ‘drowned out’ by university students.</w:t>
      </w:r>
      <w:proofErr w:type="gramEnd"/>
      <w:r>
        <w:t xml:space="preserve"> Leeds Live [Online] Available from: https://ww</w:t>
      </w:r>
      <w:r>
        <w:t xml:space="preserve">w.leeds-live.co.uk/news/leeds-news/leeds-residents-being-drowned-out-24584782 [Accessed 24/04/2023] </w:t>
      </w:r>
    </w:p>
    <w:p w:rsidR="000E1865" w:rsidRDefault="000E1865">
      <w:pPr>
        <w:pStyle w:val="normal0"/>
      </w:pPr>
    </w:p>
    <w:p w:rsidR="000E1865" w:rsidRDefault="00B51FCD">
      <w:pPr>
        <w:pStyle w:val="normal0"/>
      </w:pPr>
      <w:r>
        <w:t xml:space="preserve">Leeds City Council (2011) Article 4 Direction [Online] Available from: https://www.leeds.gov.uk/docs/FPI_HMO_003%20The%20Article%204%20direction.pdf [Accessed 24/04/2023] </w:t>
      </w:r>
    </w:p>
    <w:p w:rsidR="000E1865" w:rsidRDefault="000E1865">
      <w:pPr>
        <w:pStyle w:val="normal0"/>
      </w:pPr>
    </w:p>
    <w:p w:rsidR="000E1865" w:rsidRDefault="00B51FCD">
      <w:pPr>
        <w:pStyle w:val="normal0"/>
      </w:pPr>
      <w:r>
        <w:t>Leeds City Council (2017) How we decide on planning permission for HMOs [Online] Av</w:t>
      </w:r>
      <w:r>
        <w:t xml:space="preserve">ailable from: https://www.leeds.gov.uk/planning/planning-permission/how-we-decide-on-planning-permission-for-hmos [Accessed 08/05/2023] </w:t>
      </w:r>
    </w:p>
    <w:p w:rsidR="000E1865" w:rsidRDefault="000E1865">
      <w:pPr>
        <w:pStyle w:val="normal0"/>
      </w:pPr>
    </w:p>
    <w:p w:rsidR="000E1865" w:rsidRDefault="00B51FCD">
      <w:pPr>
        <w:pStyle w:val="normal0"/>
      </w:pPr>
      <w:r>
        <w:t>Lee, S (2021) Space availability/ standards in homes and impact on residents wellbeing [Online] Available from: https:</w:t>
      </w:r>
      <w:r>
        <w:t xml:space="preserve">//www.thegoodthing.co.uk/the-good-thing-journal/space-availability-impact-wellbeing [Accessed 02/05/2023] </w:t>
      </w:r>
    </w:p>
    <w:p w:rsidR="000E1865" w:rsidRDefault="000E1865">
      <w:pPr>
        <w:pStyle w:val="normal0"/>
      </w:pPr>
    </w:p>
    <w:p w:rsidR="000E1865" w:rsidRDefault="00B51FCD">
      <w:pPr>
        <w:pStyle w:val="normal0"/>
      </w:pPr>
      <w:r>
        <w:t>Little Woodhouse Community Association (LWCA) (2016) Neighbourhood Design Statement [Online] Available from:  https://www.leeds.gov.uk/docs/Little%2</w:t>
      </w:r>
      <w:r>
        <w:t xml:space="preserve">0Woodhouse%20NDS.pdf [Accessed 24/04/2023]  </w:t>
      </w:r>
    </w:p>
    <w:p w:rsidR="000E1865" w:rsidRDefault="000E1865">
      <w:pPr>
        <w:pStyle w:val="normal0"/>
      </w:pPr>
    </w:p>
    <w:p w:rsidR="000E1865" w:rsidRDefault="00B51FCD">
      <w:pPr>
        <w:pStyle w:val="normal0"/>
      </w:pPr>
      <w:r>
        <w:t>Little Woodhouse Neighbourhood Plan Draft (2023) Little Woodhouse [Online] Available from:</w:t>
      </w:r>
    </w:p>
    <w:p w:rsidR="000E1865" w:rsidRDefault="000E1865">
      <w:pPr>
        <w:pStyle w:val="normal0"/>
      </w:pPr>
    </w:p>
    <w:p w:rsidR="000E1865" w:rsidRDefault="00B51FCD">
      <w:pPr>
        <w:pStyle w:val="normal0"/>
      </w:pPr>
      <w:r>
        <w:t>Lynch, Z. and Stewart, J. (2018) Environmental Health and Housing: Issues for Public Health. 2nd ed. London; New York;</w:t>
      </w:r>
      <w:r>
        <w:t xml:space="preserve"> </w:t>
      </w:r>
      <w:proofErr w:type="spellStart"/>
      <w:r>
        <w:t>Routledge</w:t>
      </w:r>
      <w:proofErr w:type="spellEnd"/>
      <w:r>
        <w:t xml:space="preserve">, Taylor &amp; Francis Group </w:t>
      </w:r>
    </w:p>
    <w:p w:rsidR="000E1865" w:rsidRDefault="000E1865">
      <w:pPr>
        <w:pStyle w:val="normal0"/>
      </w:pPr>
    </w:p>
    <w:p w:rsidR="000E1865" w:rsidRDefault="00B51FCD">
      <w:pPr>
        <w:pStyle w:val="normal0"/>
      </w:pPr>
      <w:r>
        <w:lastRenderedPageBreak/>
        <w:t xml:space="preserve">Mental Health Foundation (2021) Housing and mental health [Online] Available from: https://www.mentalhealth.org.uk/explore-mental-health/a-z-topics/housing-and-mental-health [Accessed 24/04/2023] </w:t>
      </w:r>
    </w:p>
    <w:p w:rsidR="000E1865" w:rsidRDefault="000E1865">
      <w:pPr>
        <w:pStyle w:val="normal0"/>
      </w:pPr>
    </w:p>
    <w:p w:rsidR="000E1865" w:rsidRDefault="00B51FCD">
      <w:pPr>
        <w:pStyle w:val="normal0"/>
      </w:pPr>
      <w:r>
        <w:t>MHCLG (2021) National</w:t>
      </w:r>
      <w:r>
        <w:t xml:space="preserve"> Planning Policy Framework [Online] Available from: https://assets.publishing.service.gov.uk/government/uploads/system/uploads/attachment_data/file/1005759/NPPF_July_2021.pdf [Accessed 02/05/2023] </w:t>
      </w:r>
    </w:p>
    <w:p w:rsidR="000E1865" w:rsidRDefault="000E1865">
      <w:pPr>
        <w:pStyle w:val="normal0"/>
      </w:pPr>
    </w:p>
    <w:p w:rsidR="000E1865" w:rsidRDefault="00B51FCD">
      <w:pPr>
        <w:pStyle w:val="normal0"/>
      </w:pPr>
      <w:r>
        <w:t xml:space="preserve">Office for National Statistics (2016) </w:t>
      </w:r>
      <w:proofErr w:type="gramStart"/>
      <w:r>
        <w:t>How</w:t>
      </w:r>
      <w:proofErr w:type="gramEnd"/>
      <w:r>
        <w:t xml:space="preserve"> has the student</w:t>
      </w:r>
      <w:r>
        <w:t xml:space="preserve"> population changed? [Online] Available from: https://www.ons.gov.uk/peoplepopulationandcommunity/birthsdeathsandmarriages/livebirths/articles/howhasthestudentpopulationchanged/2016-09-20#:~:text=Student%20numbers%20have%20almost%20doubled%20since%201992&amp;t</w:t>
      </w:r>
      <w:r>
        <w:t xml:space="preserve">ext=In%20the%20period%20March%20to,24%20in%20full%2Dtime%20education. [Accessed 24/04/2023] </w:t>
      </w:r>
    </w:p>
    <w:p w:rsidR="000E1865" w:rsidRDefault="000E1865">
      <w:pPr>
        <w:pStyle w:val="normal0"/>
      </w:pPr>
    </w:p>
    <w:p w:rsidR="000E1865" w:rsidRDefault="00B51FCD">
      <w:pPr>
        <w:pStyle w:val="normal0"/>
      </w:pPr>
      <w:r>
        <w:t xml:space="preserve">Office for National Statistics (2021) </w:t>
      </w:r>
      <w:proofErr w:type="spellStart"/>
      <w:r>
        <w:t>Coronavirus</w:t>
      </w:r>
      <w:proofErr w:type="spellEnd"/>
      <w:r>
        <w:t xml:space="preserve"> and first year higher education students, England: 4 October to 11 October 2021 [Online] Available from: file://</w:t>
      </w:r>
      <w:r>
        <w:t xml:space="preserve">/C:/Users/44785/Downloads/Coronavirus%20and%20first%20year%20higher%20education%20students,%20England%204%20October%20to%2011%20October%202021.pdf [Accessed 24/04/2023]  </w:t>
      </w:r>
    </w:p>
    <w:p w:rsidR="000E1865" w:rsidRDefault="000E1865">
      <w:pPr>
        <w:pStyle w:val="normal0"/>
      </w:pPr>
    </w:p>
    <w:p w:rsidR="000E1865" w:rsidRDefault="00B51FCD">
      <w:pPr>
        <w:pStyle w:val="normal0"/>
      </w:pPr>
      <w:r>
        <w:t>Park, J. (2017) One Hundred Years of Space Standards [Online] Available from: https:</w:t>
      </w:r>
      <w:r>
        <w:t xml:space="preserve">//levittbernstein.co.uk/site/assets/files/2682/one_hundred_years_of_space_standards.pdf.co.uk [Accessed 29/04/2023] </w:t>
      </w:r>
    </w:p>
    <w:p w:rsidR="000E1865" w:rsidRDefault="000E1865">
      <w:pPr>
        <w:pStyle w:val="normal0"/>
      </w:pPr>
    </w:p>
    <w:p w:rsidR="000E1865" w:rsidRDefault="00B51FCD">
      <w:pPr>
        <w:pStyle w:val="normal0"/>
      </w:pPr>
      <w:proofErr w:type="gramStart"/>
      <w:r>
        <w:t>Parker, G. and Salter, K. (2017) Taking Stock of Neighbourhood Planning 2011-2016.</w:t>
      </w:r>
      <w:proofErr w:type="gramEnd"/>
      <w:r>
        <w:t xml:space="preserve"> Planning Practice and Resource, 33 2017, pp 478-490. </w:t>
      </w:r>
    </w:p>
    <w:p w:rsidR="000E1865" w:rsidRDefault="000E1865">
      <w:pPr>
        <w:pStyle w:val="normal0"/>
      </w:pPr>
    </w:p>
    <w:p w:rsidR="000E1865" w:rsidRDefault="00B51FCD">
      <w:pPr>
        <w:pStyle w:val="normal0"/>
      </w:pPr>
      <w:proofErr w:type="spellStart"/>
      <w:r>
        <w:t>Pooley</w:t>
      </w:r>
      <w:proofErr w:type="spellEnd"/>
      <w:r>
        <w:t xml:space="preserve">, C (2022) Student housing is the bubble that won't burst. Financial Times [Online] Available from: https://www.ft.com/content/2001e357-067d-4ad3-a32e-0d451ffaa0eb [Accessed 24/04/2023] </w:t>
      </w:r>
    </w:p>
    <w:p w:rsidR="000E1865" w:rsidRDefault="000E1865">
      <w:pPr>
        <w:pStyle w:val="normal0"/>
      </w:pPr>
    </w:p>
    <w:p w:rsidR="000E1865" w:rsidRDefault="00B51FCD">
      <w:pPr>
        <w:pStyle w:val="normal0"/>
      </w:pPr>
      <w:r>
        <w:t>Shelter (2022) Houses in Multiple Occupation [Online] Availabl</w:t>
      </w:r>
      <w:r>
        <w:t xml:space="preserve">e from: https://england.shelter.org.uk/housing_advice/private_renting/houses_in_multiple_occupation_hmo/your_landlords_responsibilities [Accessed 24/04/2023] </w:t>
      </w:r>
    </w:p>
    <w:p w:rsidR="000E1865" w:rsidRDefault="000E1865">
      <w:pPr>
        <w:pStyle w:val="normal0"/>
      </w:pPr>
    </w:p>
    <w:p w:rsidR="000E1865" w:rsidRDefault="00B51FCD">
      <w:pPr>
        <w:pStyle w:val="normal0"/>
      </w:pPr>
      <w:r>
        <w:t xml:space="preserve">Thorley, C. (2017) Not by Degrees Improving Student Mental Health in the UK’s Universities. </w:t>
      </w:r>
      <w:proofErr w:type="gramStart"/>
      <w:r>
        <w:t>[Onl</w:t>
      </w:r>
      <w:r>
        <w:t>ine].</w:t>
      </w:r>
      <w:proofErr w:type="gramEnd"/>
      <w:r>
        <w:t xml:space="preserve"> London: Institute for Public Policy Research. Available from: &lt;https://www.ippr.org/files/2017-09/not-by-degrees-summary-sept-2017.pdf&gt; [Accessed 23/04/2023]. </w:t>
      </w:r>
    </w:p>
    <w:p w:rsidR="000E1865" w:rsidRDefault="000E1865">
      <w:pPr>
        <w:pStyle w:val="normal0"/>
      </w:pPr>
    </w:p>
    <w:p w:rsidR="000E1865" w:rsidRDefault="00B51FCD">
      <w:pPr>
        <w:pStyle w:val="normal0"/>
      </w:pPr>
      <w:r>
        <w:t>The Wave Clinic (2023) Student mental health statistics UK 2021 [Online] Available from: https://thewaveclinic.com/blog/student-mental-health-statistics-uk-</w:t>
      </w:r>
      <w:r>
        <w:lastRenderedPageBreak/>
        <w:t>2021/#:~:text=A%202021%20survey%20from%20the,this%20number%20is%2025%25%20higher. [Accessed 24/04/20</w:t>
      </w:r>
      <w:r>
        <w:t xml:space="preserve">23]  </w:t>
      </w:r>
    </w:p>
    <w:p w:rsidR="000E1865" w:rsidRDefault="000E1865">
      <w:pPr>
        <w:pStyle w:val="normal0"/>
      </w:pPr>
    </w:p>
    <w:p w:rsidR="000E1865" w:rsidRDefault="00B51FCD">
      <w:pPr>
        <w:pStyle w:val="normal0"/>
      </w:pPr>
      <w:proofErr w:type="spellStart"/>
      <w:r>
        <w:t>Unipol</w:t>
      </w:r>
      <w:proofErr w:type="spellEnd"/>
      <w:r>
        <w:t xml:space="preserve"> (2021) </w:t>
      </w:r>
      <w:proofErr w:type="spellStart"/>
      <w:r>
        <w:t>Unipol</w:t>
      </w:r>
      <w:proofErr w:type="spellEnd"/>
      <w:r>
        <w:t xml:space="preserve"> Code </w:t>
      </w:r>
      <w:proofErr w:type="gramStart"/>
      <w:r>
        <w:t>For</w:t>
      </w:r>
      <w:proofErr w:type="gramEnd"/>
      <w:r>
        <w:t xml:space="preserve"> Shared Student Housing in the Private Sector of Leeds [Online] Available from: https://www.unipol.org.uk/getattachment/The-Code/Leeds-Code-Document-(2021-2024).pdf.aspx [Accessed 07/05/2023] </w:t>
      </w:r>
    </w:p>
    <w:p w:rsidR="000E1865" w:rsidRDefault="000E1865">
      <w:pPr>
        <w:pStyle w:val="normal0"/>
      </w:pPr>
    </w:p>
    <w:p w:rsidR="000E1865" w:rsidRDefault="00B51FCD">
      <w:pPr>
        <w:pStyle w:val="normal0"/>
      </w:pPr>
      <w:proofErr w:type="spellStart"/>
      <w:r>
        <w:t>Usborne</w:t>
      </w:r>
      <w:proofErr w:type="spellEnd"/>
      <w:r>
        <w:t xml:space="preserve">, S (2018) Shoebox </w:t>
      </w:r>
      <w:r>
        <w:t xml:space="preserve">Britain: how shrinking homes are affecting our health and happiness. </w:t>
      </w:r>
      <w:proofErr w:type="gramStart"/>
      <w:r>
        <w:t>The Guardian.</w:t>
      </w:r>
      <w:proofErr w:type="gramEnd"/>
      <w:r>
        <w:t xml:space="preserve"> [Online] Available from: https://www.theguardian.com/money/2018/oct/10/shrinking-homes-affect-health-shoebox-britain [Accessed 02/05/2023] </w:t>
      </w:r>
    </w:p>
    <w:p w:rsidR="000E1865" w:rsidRDefault="000E1865">
      <w:pPr>
        <w:pStyle w:val="normal0"/>
      </w:pPr>
    </w:p>
    <w:p w:rsidR="000E1865" w:rsidRDefault="00B51FCD">
      <w:pPr>
        <w:pStyle w:val="normal0"/>
      </w:pPr>
      <w:r>
        <w:t>Vernon, H (2023) Is Now the Time</w:t>
      </w:r>
      <w:r>
        <w:t xml:space="preserve"> to Invest in UK Purpose Built Student Accommodation? [Online] Available from: https://www.benoitproperties.com/news/is-now-the-time-to-invest-in-uk-purpose-built-student-accommodation/ [Accessed 24/04/2023]  </w:t>
      </w:r>
    </w:p>
    <w:p w:rsidR="000E1865" w:rsidRDefault="000E1865">
      <w:pPr>
        <w:pStyle w:val="normal0"/>
      </w:pPr>
    </w:p>
    <w:p w:rsidR="000E1865" w:rsidRDefault="00B51FCD">
      <w:pPr>
        <w:pStyle w:val="normal0"/>
      </w:pPr>
      <w:proofErr w:type="spellStart"/>
      <w:r>
        <w:t>Whistance</w:t>
      </w:r>
      <w:proofErr w:type="spellEnd"/>
      <w:r>
        <w:t xml:space="preserve">, A (2022) Student accommodation in </w:t>
      </w:r>
      <w:r>
        <w:t>Leeds: city boasts the most student properties in the UK according to new research. Yorkshire Evening Post [Online] Available from: https://www.yorkshireeveningpost.co.uk/lifestyle/homes-and-gardens/student-accommodation-in-leeds-city-boasts-the-most-stude</w:t>
      </w:r>
      <w:r>
        <w:t xml:space="preserve">nt-properties-in-the-uk-according-to-new-research-3916648 [Accessed 24/04/2023]  </w:t>
      </w:r>
    </w:p>
    <w:p w:rsidR="000E1865" w:rsidRDefault="000E1865">
      <w:pPr>
        <w:pStyle w:val="normal0"/>
      </w:pPr>
    </w:p>
    <w:p w:rsidR="000E1865" w:rsidRDefault="00B51FCD">
      <w:pPr>
        <w:pStyle w:val="normal0"/>
      </w:pPr>
      <w:r>
        <w:t xml:space="preserve"> </w:t>
      </w:r>
    </w:p>
    <w:p w:rsidR="000E1865" w:rsidRDefault="000E1865">
      <w:pPr>
        <w:pStyle w:val="normal0"/>
      </w:pPr>
    </w:p>
    <w:p w:rsidR="000E1865" w:rsidRDefault="000E1865">
      <w:pPr>
        <w:pStyle w:val="normal0"/>
      </w:pPr>
    </w:p>
    <w:sectPr w:rsidR="000E1865" w:rsidSect="000E1865">
      <w:footerReference w:type="default" r:id="rId9"/>
      <w:pgSz w:w="12240" w:h="15840"/>
      <w:pgMar w:top="1440" w:right="1440" w:bottom="1440" w:left="144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51FCD" w:rsidRDefault="00B51FCD" w:rsidP="000E1865">
      <w:pPr>
        <w:spacing w:line="240" w:lineRule="auto"/>
      </w:pPr>
      <w:r>
        <w:separator/>
      </w:r>
    </w:p>
  </w:endnote>
  <w:endnote w:type="continuationSeparator" w:id="0">
    <w:p w:rsidR="00B51FCD" w:rsidRDefault="00B51FCD" w:rsidP="000E1865">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1865" w:rsidRDefault="00B51FCD">
    <w:pPr>
      <w:pStyle w:val="normal0"/>
      <w:rPr>
        <w:color w:val="666666"/>
      </w:rPr>
    </w:pPr>
    <w:r>
      <w:rPr>
        <w:color w:val="666666"/>
      </w:rPr>
      <w:t xml:space="preserve">Eleanor </w:t>
    </w:r>
    <w:proofErr w:type="spellStart"/>
    <w:r>
      <w:rPr>
        <w:color w:val="666666"/>
      </w:rPr>
      <w:t>Hardie</w:t>
    </w:r>
    <w:proofErr w:type="spellEnd"/>
    <w:r>
      <w:rPr>
        <w:color w:val="666666"/>
      </w:rPr>
      <w:t>, Laura Smith &amp; Daniel Wiley</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51FCD" w:rsidRDefault="00B51FCD" w:rsidP="000E1865">
      <w:pPr>
        <w:spacing w:line="240" w:lineRule="auto"/>
      </w:pPr>
      <w:r>
        <w:separator/>
      </w:r>
    </w:p>
  </w:footnote>
  <w:footnote w:type="continuationSeparator" w:id="0">
    <w:p w:rsidR="00B51FCD" w:rsidRDefault="00B51FCD" w:rsidP="000E1865">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260288B"/>
    <w:multiLevelType w:val="multilevel"/>
    <w:tmpl w:val="674A11B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0E1865"/>
    <w:rsid w:val="000E1865"/>
    <w:rsid w:val="008224ED"/>
    <w:rsid w:val="00B51FCD"/>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rsid w:val="000E1865"/>
    <w:pPr>
      <w:keepNext/>
      <w:keepLines/>
      <w:spacing w:before="400" w:after="120"/>
      <w:outlineLvl w:val="0"/>
    </w:pPr>
    <w:rPr>
      <w:sz w:val="40"/>
      <w:szCs w:val="40"/>
    </w:rPr>
  </w:style>
  <w:style w:type="paragraph" w:styleId="Heading2">
    <w:name w:val="heading 2"/>
    <w:basedOn w:val="normal0"/>
    <w:next w:val="normal0"/>
    <w:rsid w:val="000E1865"/>
    <w:pPr>
      <w:keepNext/>
      <w:keepLines/>
      <w:spacing w:before="360" w:after="120"/>
      <w:outlineLvl w:val="1"/>
    </w:pPr>
    <w:rPr>
      <w:sz w:val="32"/>
      <w:szCs w:val="32"/>
    </w:rPr>
  </w:style>
  <w:style w:type="paragraph" w:styleId="Heading3">
    <w:name w:val="heading 3"/>
    <w:basedOn w:val="normal0"/>
    <w:next w:val="normal0"/>
    <w:rsid w:val="000E1865"/>
    <w:pPr>
      <w:keepNext/>
      <w:keepLines/>
      <w:spacing w:before="320" w:after="80"/>
      <w:outlineLvl w:val="2"/>
    </w:pPr>
    <w:rPr>
      <w:color w:val="434343"/>
      <w:sz w:val="28"/>
      <w:szCs w:val="28"/>
    </w:rPr>
  </w:style>
  <w:style w:type="paragraph" w:styleId="Heading4">
    <w:name w:val="heading 4"/>
    <w:basedOn w:val="normal0"/>
    <w:next w:val="normal0"/>
    <w:rsid w:val="000E1865"/>
    <w:pPr>
      <w:keepNext/>
      <w:keepLines/>
      <w:spacing w:before="280" w:after="80"/>
      <w:outlineLvl w:val="3"/>
    </w:pPr>
    <w:rPr>
      <w:color w:val="666666"/>
      <w:sz w:val="24"/>
      <w:szCs w:val="24"/>
    </w:rPr>
  </w:style>
  <w:style w:type="paragraph" w:styleId="Heading5">
    <w:name w:val="heading 5"/>
    <w:basedOn w:val="normal0"/>
    <w:next w:val="normal0"/>
    <w:rsid w:val="000E1865"/>
    <w:pPr>
      <w:keepNext/>
      <w:keepLines/>
      <w:spacing w:before="240" w:after="80"/>
      <w:outlineLvl w:val="4"/>
    </w:pPr>
    <w:rPr>
      <w:color w:val="666666"/>
    </w:rPr>
  </w:style>
  <w:style w:type="paragraph" w:styleId="Heading6">
    <w:name w:val="heading 6"/>
    <w:basedOn w:val="normal0"/>
    <w:next w:val="normal0"/>
    <w:rsid w:val="000E1865"/>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0E1865"/>
  </w:style>
  <w:style w:type="paragraph" w:styleId="Title">
    <w:name w:val="Title"/>
    <w:basedOn w:val="normal0"/>
    <w:next w:val="normal0"/>
    <w:rsid w:val="000E1865"/>
    <w:pPr>
      <w:keepNext/>
      <w:keepLines/>
      <w:spacing w:after="60"/>
    </w:pPr>
    <w:rPr>
      <w:sz w:val="52"/>
      <w:szCs w:val="52"/>
    </w:rPr>
  </w:style>
  <w:style w:type="paragraph" w:styleId="Subtitle">
    <w:name w:val="Subtitle"/>
    <w:basedOn w:val="normal0"/>
    <w:next w:val="normal0"/>
    <w:rsid w:val="000E1865"/>
    <w:pPr>
      <w:keepNext/>
      <w:keepLines/>
      <w:spacing w:after="320"/>
    </w:pPr>
    <w:rPr>
      <w:color w:val="666666"/>
      <w:sz w:val="30"/>
      <w:szCs w:val="30"/>
    </w:rPr>
  </w:style>
  <w:style w:type="table" w:customStyle="1" w:styleId="a">
    <w:basedOn w:val="TableNormal"/>
    <w:rsid w:val="000E1865"/>
    <w:tblPr>
      <w:tblStyleRowBandSize w:val="1"/>
      <w:tblStyleColBandSize w:val="1"/>
      <w:tblInd w:w="0" w:type="dxa"/>
      <w:tblCellMar>
        <w:top w:w="100" w:type="dxa"/>
        <w:left w:w="100" w:type="dxa"/>
        <w:bottom w:w="100" w:type="dxa"/>
        <w:right w:w="100" w:type="dxa"/>
      </w:tblCellMar>
    </w:tblPr>
  </w:style>
  <w:style w:type="table" w:customStyle="1" w:styleId="a0">
    <w:basedOn w:val="TableNormal"/>
    <w:rsid w:val="000E1865"/>
    <w:tblPr>
      <w:tblStyleRowBandSize w:val="1"/>
      <w:tblStyleColBandSize w:val="1"/>
      <w:tblInd w:w="0" w:type="dxa"/>
      <w:tblCellMar>
        <w:top w:w="100" w:type="dxa"/>
        <w:left w:w="100" w:type="dxa"/>
        <w:bottom w:w="100" w:type="dxa"/>
        <w:right w:w="100" w:type="dxa"/>
      </w:tblCellMar>
    </w:tblPr>
  </w:style>
  <w:style w:type="table" w:customStyle="1" w:styleId="a1">
    <w:basedOn w:val="TableNormal"/>
    <w:rsid w:val="000E1865"/>
    <w:tblPr>
      <w:tblStyleRowBandSize w:val="1"/>
      <w:tblStyleColBandSize w:val="1"/>
      <w:tblInd w:w="0" w:type="dxa"/>
      <w:tblCellMar>
        <w:top w:w="100" w:type="dxa"/>
        <w:left w:w="100" w:type="dxa"/>
        <w:bottom w:w="100" w:type="dxa"/>
        <w:right w:w="100" w:type="dxa"/>
      </w:tblCellMar>
    </w:tblPr>
  </w:style>
  <w:style w:type="table" w:customStyle="1" w:styleId="a2">
    <w:basedOn w:val="TableNormal"/>
    <w:rsid w:val="000E1865"/>
    <w:tblPr>
      <w:tblStyleRowBandSize w:val="1"/>
      <w:tblStyleColBandSize w:val="1"/>
      <w:tblInd w:w="0" w:type="dxa"/>
      <w:tblCellMar>
        <w:top w:w="100" w:type="dxa"/>
        <w:left w:w="100" w:type="dxa"/>
        <w:bottom w:w="100" w:type="dxa"/>
        <w:right w:w="100" w:type="dxa"/>
      </w:tblCellMar>
    </w:tblPr>
  </w:style>
  <w:style w:type="table" w:customStyle="1" w:styleId="a3">
    <w:basedOn w:val="TableNormal"/>
    <w:rsid w:val="000E1865"/>
    <w:tblPr>
      <w:tblStyleRowBandSize w:val="1"/>
      <w:tblStyleColBandSize w:val="1"/>
      <w:tblInd w:w="0" w:type="dxa"/>
      <w:tblCellMar>
        <w:top w:w="100" w:type="dxa"/>
        <w:left w:w="100" w:type="dxa"/>
        <w:bottom w:w="100" w:type="dxa"/>
        <w:right w:w="100" w:type="dxa"/>
      </w:tblCellMar>
    </w:tblPr>
  </w:style>
  <w:style w:type="table" w:customStyle="1" w:styleId="a4">
    <w:basedOn w:val="TableNormal"/>
    <w:rsid w:val="000E1865"/>
    <w:tblPr>
      <w:tblStyleRowBandSize w:val="1"/>
      <w:tblStyleColBandSize w:val="1"/>
      <w:tblInd w:w="0" w:type="dxa"/>
      <w:tblCellMar>
        <w:top w:w="100" w:type="dxa"/>
        <w:left w:w="100" w:type="dxa"/>
        <w:bottom w:w="100" w:type="dxa"/>
        <w:right w:w="100" w:type="dxa"/>
      </w:tblCellMar>
    </w:tblPr>
  </w:style>
  <w:style w:type="table" w:customStyle="1" w:styleId="a5">
    <w:basedOn w:val="TableNormal"/>
    <w:rsid w:val="000E1865"/>
    <w:tblPr>
      <w:tblStyleRowBandSize w:val="1"/>
      <w:tblStyleColBandSize w:val="1"/>
      <w:tblInd w:w="0" w:type="dxa"/>
      <w:tblCellMar>
        <w:top w:w="100" w:type="dxa"/>
        <w:left w:w="100" w:type="dxa"/>
        <w:bottom w:w="100" w:type="dxa"/>
        <w:right w:w="100" w:type="dxa"/>
      </w:tblCellMar>
    </w:tblPr>
  </w:style>
  <w:style w:type="table" w:customStyle="1" w:styleId="a6">
    <w:basedOn w:val="TableNormal"/>
    <w:rsid w:val="000E1865"/>
    <w:tblPr>
      <w:tblStyleRowBandSize w:val="1"/>
      <w:tblStyleColBandSize w:val="1"/>
      <w:tblInd w:w="0" w:type="dxa"/>
      <w:tblCellMar>
        <w:top w:w="100" w:type="dxa"/>
        <w:left w:w="100" w:type="dxa"/>
        <w:bottom w:w="100" w:type="dxa"/>
        <w:right w:w="100" w:type="dxa"/>
      </w:tblCellMar>
    </w:tblPr>
  </w:style>
  <w:style w:type="table" w:customStyle="1" w:styleId="a7">
    <w:basedOn w:val="TableNormal"/>
    <w:rsid w:val="000E1865"/>
    <w:tblPr>
      <w:tblStyleRowBandSize w:val="1"/>
      <w:tblStyleColBandSize w:val="1"/>
      <w:tblInd w:w="0" w:type="dxa"/>
      <w:tblCellMar>
        <w:top w:w="100" w:type="dxa"/>
        <w:left w:w="100" w:type="dxa"/>
        <w:bottom w:w="100" w:type="dxa"/>
        <w:right w:w="100" w:type="dxa"/>
      </w:tblCellMar>
    </w:tblPr>
  </w:style>
  <w:style w:type="table" w:customStyle="1" w:styleId="a8">
    <w:basedOn w:val="TableNormal"/>
    <w:rsid w:val="000E1865"/>
    <w:tblPr>
      <w:tblStyleRowBandSize w:val="1"/>
      <w:tblStyleColBandSize w:val="1"/>
      <w:tblInd w:w="0" w:type="dxa"/>
      <w:tblCellMar>
        <w:top w:w="100" w:type="dxa"/>
        <w:left w:w="100" w:type="dxa"/>
        <w:bottom w:w="100" w:type="dxa"/>
        <w:right w:w="100" w:type="dxa"/>
      </w:tblCellMar>
    </w:tblPr>
  </w:style>
  <w:style w:type="paragraph" w:styleId="BalloonText">
    <w:name w:val="Balloon Text"/>
    <w:basedOn w:val="Normal"/>
    <w:link w:val="BalloonTextChar"/>
    <w:uiPriority w:val="99"/>
    <w:semiHidden/>
    <w:unhideWhenUsed/>
    <w:rsid w:val="008224ED"/>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224E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23</Pages>
  <Words>5960</Words>
  <Characters>33977</Characters>
  <Application>Microsoft Office Word</Application>
  <DocSecurity>0</DocSecurity>
  <Lines>283</Lines>
  <Paragraphs>79</Paragraphs>
  <ScaleCrop>false</ScaleCrop>
  <Company/>
  <LinksUpToDate>false</LinksUpToDate>
  <CharactersWithSpaces>39858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Deryck</dc:creator>
  <cp:lastModifiedBy>Deryck</cp:lastModifiedBy>
  <cp:revision>2</cp:revision>
  <dcterms:created xsi:type="dcterms:W3CDTF">2023-06-30T11:30:00Z</dcterms:created>
  <dcterms:modified xsi:type="dcterms:W3CDTF">2023-06-30T11:30:00Z</dcterms:modified>
</cp:coreProperties>
</file>